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E7950" w14:textId="08C5EFC8" w:rsidR="00FE0B54" w:rsidRDefault="00EB7163" w:rsidP="00272002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13E6E044" wp14:editId="28B22B75">
            <wp:extent cx="1663562" cy="562675"/>
            <wp:effectExtent l="0" t="0" r="0" b="8890"/>
            <wp:docPr id="3" name="Resim 3" descr="C:\Users\Defne ÖZALP\AppData\Local\Microsoft\Windows\Temporary Internet Files\Content.Outlook\0RUP3IST\SS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fne ÖZALP\AppData\Local\Microsoft\Windows\Temporary Internet Files\Content.Outlook\0RUP3IST\SSUK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799" cy="56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7B5" w14:textId="77777777" w:rsidR="00FE0B54" w:rsidRDefault="00FE0B54" w:rsidP="00FE0B54">
      <w:pPr>
        <w:spacing w:after="0" w:line="240" w:lineRule="auto"/>
        <w:rPr>
          <w:b/>
          <w:sz w:val="24"/>
          <w:szCs w:val="24"/>
        </w:rPr>
      </w:pPr>
    </w:p>
    <w:p w14:paraId="258AB163" w14:textId="26375777" w:rsidR="006005A8" w:rsidRPr="00FE0B54" w:rsidRDefault="00FE0B54" w:rsidP="00FE0B54">
      <w:pPr>
        <w:spacing w:after="0" w:line="240" w:lineRule="auto"/>
        <w:jc w:val="both"/>
        <w:rPr>
          <w:b/>
          <w:sz w:val="26"/>
          <w:szCs w:val="26"/>
        </w:rPr>
      </w:pPr>
      <w:r w:rsidRPr="00FE0B54">
        <w:rPr>
          <w:b/>
          <w:sz w:val="26"/>
          <w:szCs w:val="26"/>
        </w:rPr>
        <w:t xml:space="preserve">31 MAYIS </w:t>
      </w:r>
      <w:r w:rsidR="0085542B">
        <w:rPr>
          <w:b/>
          <w:sz w:val="26"/>
          <w:szCs w:val="26"/>
        </w:rPr>
        <w:t>TÜTÜNSÜZ BİR DÜNYA</w:t>
      </w:r>
      <w:r w:rsidRPr="00FE0B54">
        <w:rPr>
          <w:b/>
          <w:sz w:val="26"/>
          <w:szCs w:val="26"/>
        </w:rPr>
        <w:t xml:space="preserve"> GÜNÜNDE SİVİL TOPLUM KURULUŞLARI UYARIYOR: </w:t>
      </w:r>
    </w:p>
    <w:p w14:paraId="54C3EA72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7B05FC30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 xml:space="preserve">Türkiye’nin sigara üretimi, iç pazarda sigara satışı, sigara ihracatı, </w:t>
      </w:r>
      <w:proofErr w:type="spellStart"/>
      <w:r w:rsidRPr="00FE0B54">
        <w:rPr>
          <w:b/>
          <w:sz w:val="24"/>
          <w:szCs w:val="24"/>
        </w:rPr>
        <w:t>nargilelik</w:t>
      </w:r>
      <w:proofErr w:type="spellEnd"/>
      <w:r w:rsidRPr="00FE0B54">
        <w:rPr>
          <w:b/>
          <w:sz w:val="24"/>
          <w:szCs w:val="24"/>
        </w:rPr>
        <w:t xml:space="preserve"> tütün ihracatı hızla artmaktadır. </w:t>
      </w:r>
    </w:p>
    <w:p w14:paraId="2FA8C968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794359F1" w14:textId="37ECC103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>Türkiye tütün kontrolünde başarılı ülkeler arasında ilk sıralarda</w:t>
      </w:r>
      <w:r w:rsidR="00FE0B54">
        <w:rPr>
          <w:b/>
          <w:sz w:val="24"/>
          <w:szCs w:val="24"/>
        </w:rPr>
        <w:t xml:space="preserve"> gösterilirken, önlem alınmazsa</w:t>
      </w:r>
      <w:r w:rsidRPr="00FE0B54">
        <w:rPr>
          <w:b/>
          <w:sz w:val="24"/>
          <w:szCs w:val="24"/>
        </w:rPr>
        <w:t xml:space="preserve"> tütün kullanımı </w:t>
      </w:r>
      <w:r w:rsidR="003F1774" w:rsidRPr="00FE0B54">
        <w:rPr>
          <w:b/>
          <w:sz w:val="24"/>
          <w:szCs w:val="24"/>
        </w:rPr>
        <w:t xml:space="preserve">hızla </w:t>
      </w:r>
      <w:r w:rsidRPr="00FE0B54">
        <w:rPr>
          <w:b/>
          <w:sz w:val="24"/>
          <w:szCs w:val="24"/>
        </w:rPr>
        <w:t>artacaktır.</w:t>
      </w:r>
    </w:p>
    <w:p w14:paraId="27DE777A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1C9A3FCA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 xml:space="preserve">Türkiye, çokuluslu tütün firmalarının üretim ve dağıtım merkezi olmamalıdır. </w:t>
      </w:r>
    </w:p>
    <w:p w14:paraId="648DF243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3493D1ED" w14:textId="77777777" w:rsidR="006D0DF4" w:rsidRPr="00FE0B54" w:rsidRDefault="006D0DF4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 xml:space="preserve">Ülkemizde sigara tüketimde son yıllarda inişli çıkışlı bir </w:t>
      </w:r>
      <w:proofErr w:type="gramStart"/>
      <w:r w:rsidRPr="00FE0B54">
        <w:rPr>
          <w:sz w:val="24"/>
          <w:szCs w:val="24"/>
        </w:rPr>
        <w:t>trend</w:t>
      </w:r>
      <w:proofErr w:type="gramEnd"/>
      <w:r w:rsidRPr="00FE0B54">
        <w:rPr>
          <w:sz w:val="24"/>
          <w:szCs w:val="24"/>
        </w:rPr>
        <w:t xml:space="preserve"> izlenmektedir. Kapalı alan sigara yasaklarının ardından 2009-2010 arasında yaşanan büyük düşüşten sonraki tüketim artma göstermiştir. 2014 yılında tüketim, 94,6 milyar çubuk sigara ile 2010 yılı seviyesinin biraz üzerine çıkarak gerçekleşmiştir (Tablo 1).</w:t>
      </w:r>
    </w:p>
    <w:p w14:paraId="5693AAD8" w14:textId="77777777" w:rsidR="0085542B" w:rsidRDefault="0085542B" w:rsidP="00FE0B54">
      <w:pPr>
        <w:spacing w:after="0" w:line="240" w:lineRule="auto"/>
        <w:jc w:val="both"/>
        <w:rPr>
          <w:sz w:val="24"/>
          <w:szCs w:val="24"/>
        </w:rPr>
      </w:pPr>
    </w:p>
    <w:p w14:paraId="25E945EB" w14:textId="3EE0F13E" w:rsidR="006D0DF4" w:rsidRPr="00FE0B54" w:rsidRDefault="006D0DF4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Sigara üretimi de 2014 yılı</w:t>
      </w:r>
      <w:r w:rsidR="00272DFB">
        <w:rPr>
          <w:sz w:val="24"/>
          <w:szCs w:val="24"/>
        </w:rPr>
        <w:t xml:space="preserve">nda 2010 yılına göre % 24 artış gerçekleşerek </w:t>
      </w:r>
      <w:r w:rsidR="0085542B">
        <w:rPr>
          <w:sz w:val="24"/>
          <w:szCs w:val="24"/>
        </w:rPr>
        <w:t>142,</w:t>
      </w:r>
      <w:r w:rsidRPr="00FE0B54">
        <w:rPr>
          <w:sz w:val="24"/>
          <w:szCs w:val="24"/>
        </w:rPr>
        <w:t>9 milyar adet toplam üretim yapılmıştır (Tablo 2).</w:t>
      </w:r>
    </w:p>
    <w:p w14:paraId="012C1387" w14:textId="77777777" w:rsidR="006D0DF4" w:rsidRPr="00FE0B54" w:rsidRDefault="006D0DF4" w:rsidP="00FE0B54">
      <w:pPr>
        <w:spacing w:after="0" w:line="240" w:lineRule="auto"/>
        <w:jc w:val="both"/>
        <w:rPr>
          <w:sz w:val="24"/>
          <w:szCs w:val="24"/>
        </w:rPr>
      </w:pPr>
    </w:p>
    <w:p w14:paraId="12F5DCA4" w14:textId="565818ED" w:rsidR="0014319F" w:rsidRPr="00FE0B54" w:rsidRDefault="006D0DF4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TAPDK verilerine göre 2008’deki 25,6 milyar adet olan si</w:t>
      </w:r>
      <w:r w:rsidR="0085542B">
        <w:rPr>
          <w:sz w:val="24"/>
          <w:szCs w:val="24"/>
        </w:rPr>
        <w:t>gara ihracatı,  2014 yılında 44,</w:t>
      </w:r>
      <w:r w:rsidRPr="00FE0B54">
        <w:rPr>
          <w:sz w:val="24"/>
          <w:szCs w:val="24"/>
        </w:rPr>
        <w:t xml:space="preserve">7 milyar </w:t>
      </w:r>
      <w:proofErr w:type="gramStart"/>
      <w:r w:rsidRPr="00FE0B54">
        <w:rPr>
          <w:sz w:val="24"/>
          <w:szCs w:val="24"/>
        </w:rPr>
        <w:t>adete</w:t>
      </w:r>
      <w:proofErr w:type="gramEnd"/>
      <w:r w:rsidRPr="00FE0B54">
        <w:rPr>
          <w:sz w:val="24"/>
          <w:szCs w:val="24"/>
        </w:rPr>
        <w:t xml:space="preserve"> yükselmiştir. Günümüzde, iç piyasa satışının yarısına yakın miktarda sigara ihracatı yapılmaktadır</w:t>
      </w:r>
      <w:r w:rsidR="0014319F" w:rsidRPr="00FE0B54">
        <w:rPr>
          <w:sz w:val="24"/>
          <w:szCs w:val="24"/>
        </w:rPr>
        <w:t>. En fazla sigara ihraç edilen ülkeler Bahreyn, İran, Irak ve Lübnan’dır.</w:t>
      </w:r>
      <w:r w:rsidRPr="00FE0B54">
        <w:rPr>
          <w:sz w:val="24"/>
          <w:szCs w:val="24"/>
        </w:rPr>
        <w:t xml:space="preserve"> (Tablo 3</w:t>
      </w:r>
      <w:r w:rsidRPr="003200EE">
        <w:rPr>
          <w:sz w:val="24"/>
          <w:szCs w:val="24"/>
        </w:rPr>
        <w:t>).</w:t>
      </w:r>
      <w:r w:rsidR="0014319F" w:rsidRPr="003200EE">
        <w:rPr>
          <w:sz w:val="24"/>
          <w:szCs w:val="24"/>
        </w:rPr>
        <w:t xml:space="preserve"> Bahreyn, </w:t>
      </w:r>
      <w:proofErr w:type="gramStart"/>
      <w:r w:rsidR="0014319F" w:rsidRPr="003200EE">
        <w:rPr>
          <w:sz w:val="24"/>
          <w:szCs w:val="24"/>
        </w:rPr>
        <w:t>dahilde</w:t>
      </w:r>
      <w:proofErr w:type="gramEnd"/>
      <w:r w:rsidR="0014319F" w:rsidRPr="00FE0B54">
        <w:rPr>
          <w:sz w:val="24"/>
          <w:szCs w:val="24"/>
        </w:rPr>
        <w:t xml:space="preserve"> işleme rejimine</w:t>
      </w:r>
      <w:r w:rsidR="0085542B">
        <w:rPr>
          <w:sz w:val="24"/>
          <w:szCs w:val="24"/>
        </w:rPr>
        <w:t xml:space="preserve"> (DİR)</w:t>
      </w:r>
      <w:r w:rsidR="0014319F" w:rsidRPr="00FE0B54">
        <w:rPr>
          <w:sz w:val="24"/>
          <w:szCs w:val="24"/>
        </w:rPr>
        <w:t xml:space="preserve"> yapılan destekler sonucu kaydedilen anormal ihracat artışları ile bugün birinci ülke olmuş durumdadır. </w:t>
      </w:r>
    </w:p>
    <w:p w14:paraId="0CC11544" w14:textId="77777777" w:rsidR="0085542B" w:rsidRDefault="0085542B" w:rsidP="00FE0B54">
      <w:pPr>
        <w:spacing w:after="0" w:line="240" w:lineRule="auto"/>
        <w:jc w:val="both"/>
        <w:rPr>
          <w:sz w:val="24"/>
          <w:szCs w:val="24"/>
        </w:rPr>
      </w:pPr>
    </w:p>
    <w:p w14:paraId="7D1E34B3" w14:textId="5DD57670" w:rsidR="0014319F" w:rsidRPr="00FE0B54" w:rsidRDefault="0014319F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Tütün kullanıcı sayıs</w:t>
      </w:r>
      <w:r w:rsidR="00272DFB">
        <w:rPr>
          <w:sz w:val="24"/>
          <w:szCs w:val="24"/>
        </w:rPr>
        <w:t xml:space="preserve">ının 190.000 olduğu Bahreyn’de </w:t>
      </w:r>
      <w:r w:rsidRPr="00FE0B54">
        <w:rPr>
          <w:sz w:val="24"/>
          <w:szCs w:val="24"/>
        </w:rPr>
        <w:t>Türkiye’nin ihraç ettiği sigaraları tüketmek için kişi başına günde altı paket sigara içilmesi gerekmektedir (Tablo 4).</w:t>
      </w:r>
    </w:p>
    <w:p w14:paraId="0AD8BA6B" w14:textId="77777777" w:rsidR="006D0DF4" w:rsidRPr="00FE0B54" w:rsidRDefault="006D0DF4" w:rsidP="00FE0B54">
      <w:pPr>
        <w:spacing w:after="0" w:line="240" w:lineRule="auto"/>
        <w:jc w:val="both"/>
        <w:rPr>
          <w:sz w:val="24"/>
          <w:szCs w:val="24"/>
        </w:rPr>
      </w:pPr>
    </w:p>
    <w:p w14:paraId="03F9FD7E" w14:textId="70490E48" w:rsidR="0014319F" w:rsidRPr="00FE0B54" w:rsidRDefault="003F1774" w:rsidP="00FE0B54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FE0B54">
        <w:rPr>
          <w:sz w:val="24"/>
          <w:szCs w:val="24"/>
        </w:rPr>
        <w:t>Nargilelik</w:t>
      </w:r>
      <w:proofErr w:type="spellEnd"/>
      <w:r w:rsidRPr="00FE0B54">
        <w:rPr>
          <w:sz w:val="24"/>
          <w:szCs w:val="24"/>
        </w:rPr>
        <w:t xml:space="preserve"> tütün ihracatında</w:t>
      </w:r>
      <w:r w:rsidR="0014319F" w:rsidRPr="00FE0B54">
        <w:rPr>
          <w:sz w:val="24"/>
          <w:szCs w:val="24"/>
        </w:rPr>
        <w:t xml:space="preserve"> </w:t>
      </w:r>
      <w:r w:rsidRPr="00FE0B54">
        <w:rPr>
          <w:sz w:val="24"/>
          <w:szCs w:val="24"/>
        </w:rPr>
        <w:t>son yıllarda çok büyük artış izlenmektedir (Tablo 5) .</w:t>
      </w:r>
    </w:p>
    <w:p w14:paraId="3DB5D160" w14:textId="032E150A" w:rsidR="003F1774" w:rsidRPr="00FE0B54" w:rsidRDefault="003F1774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Gençler arasında önemli bir salgın haline gelmiş olan nargile tütünü Türkiye tarafından yayılmaktadır.</w:t>
      </w:r>
    </w:p>
    <w:p w14:paraId="287E6D51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19E9C6D9" w14:textId="34233551" w:rsidR="003F1774" w:rsidRPr="00FE0B54" w:rsidRDefault="003F1774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Sigara ve Sağlık Ulusal Komi</w:t>
      </w:r>
      <w:r w:rsidR="00FE0B54">
        <w:rPr>
          <w:sz w:val="24"/>
          <w:szCs w:val="24"/>
        </w:rPr>
        <w:t xml:space="preserve">tesi Başkanı Doç. Dr. Özen Aşut </w:t>
      </w:r>
      <w:r w:rsidRPr="00FE0B54">
        <w:rPr>
          <w:sz w:val="24"/>
          <w:szCs w:val="24"/>
        </w:rPr>
        <w:t>“</w:t>
      </w:r>
      <w:r w:rsidR="0014319F" w:rsidRPr="00FE0B54">
        <w:rPr>
          <w:sz w:val="24"/>
          <w:szCs w:val="24"/>
        </w:rPr>
        <w:t xml:space="preserve">İç ve dış piyasalardaki tütün ticareti aynı şekilde insan öldürüyor. Türkiye bir yandan iç satışları sınırlandırmak için tütün kontrolü önlemleri uygularken, </w:t>
      </w:r>
      <w:r w:rsidRPr="00FE0B54">
        <w:rPr>
          <w:sz w:val="24"/>
          <w:szCs w:val="24"/>
        </w:rPr>
        <w:t xml:space="preserve">diğer </w:t>
      </w:r>
      <w:r w:rsidR="0085542B">
        <w:rPr>
          <w:sz w:val="24"/>
          <w:szCs w:val="24"/>
        </w:rPr>
        <w:t xml:space="preserve">ülkelere </w:t>
      </w:r>
      <w:r w:rsidR="0014319F" w:rsidRPr="00FE0B54">
        <w:rPr>
          <w:sz w:val="24"/>
          <w:szCs w:val="24"/>
        </w:rPr>
        <w:t xml:space="preserve">yaptığı </w:t>
      </w:r>
      <w:r w:rsidRPr="00FE0B54">
        <w:rPr>
          <w:sz w:val="24"/>
          <w:szCs w:val="24"/>
        </w:rPr>
        <w:t>tütün dış ticareti ile övünemez” dedi.</w:t>
      </w:r>
      <w:r w:rsidR="0014319F" w:rsidRPr="00FE0B54">
        <w:rPr>
          <w:sz w:val="24"/>
          <w:szCs w:val="24"/>
        </w:rPr>
        <w:t xml:space="preserve"> </w:t>
      </w:r>
    </w:p>
    <w:p w14:paraId="5E39A336" w14:textId="77777777" w:rsidR="003F1774" w:rsidRPr="00FE0B54" w:rsidRDefault="003F1774" w:rsidP="00FE0B54">
      <w:pPr>
        <w:spacing w:after="0" w:line="240" w:lineRule="auto"/>
        <w:jc w:val="both"/>
        <w:rPr>
          <w:sz w:val="24"/>
          <w:szCs w:val="24"/>
        </w:rPr>
      </w:pPr>
    </w:p>
    <w:p w14:paraId="6466C566" w14:textId="66AC536F" w:rsidR="0014319F" w:rsidRPr="00FE0B54" w:rsidRDefault="003F1774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Sağlık Enstitüsü Derneği Başkanı Prof</w:t>
      </w:r>
      <w:r w:rsidR="00FE0B54">
        <w:rPr>
          <w:sz w:val="24"/>
          <w:szCs w:val="24"/>
        </w:rPr>
        <w:t>.</w:t>
      </w:r>
      <w:r w:rsidRPr="00FE0B54">
        <w:rPr>
          <w:sz w:val="24"/>
          <w:szCs w:val="24"/>
        </w:rPr>
        <w:t xml:space="preserve"> Dr</w:t>
      </w:r>
      <w:r w:rsidR="00FE0B54">
        <w:rPr>
          <w:sz w:val="24"/>
          <w:szCs w:val="24"/>
        </w:rPr>
        <w:t>.</w:t>
      </w:r>
      <w:r w:rsidRPr="00FE0B54">
        <w:rPr>
          <w:sz w:val="24"/>
          <w:szCs w:val="24"/>
        </w:rPr>
        <w:t xml:space="preserve"> Elif Dağlı  “</w:t>
      </w:r>
      <w:r w:rsidR="0014319F" w:rsidRPr="00FE0B54">
        <w:rPr>
          <w:sz w:val="24"/>
          <w:szCs w:val="24"/>
        </w:rPr>
        <w:t xml:space="preserve">Tütün kontrolü politikaları, tütün ticaretinin halk sağlığı gerekleri doğrultusunda sınırlandırılmasını gerekli kılar. </w:t>
      </w:r>
      <w:r w:rsidRPr="00FE0B54">
        <w:rPr>
          <w:sz w:val="24"/>
          <w:szCs w:val="24"/>
        </w:rPr>
        <w:t xml:space="preserve">Devletimizin yöneticilerinin </w:t>
      </w:r>
      <w:r w:rsidR="0014319F" w:rsidRPr="00FE0B54">
        <w:rPr>
          <w:sz w:val="24"/>
          <w:szCs w:val="24"/>
        </w:rPr>
        <w:t xml:space="preserve">tütün sektörü “ihracat şampiyonlarına” ödül vermeleri bir politik çelişkidir ve </w:t>
      </w:r>
      <w:r w:rsidRPr="00FE0B54">
        <w:rPr>
          <w:sz w:val="24"/>
          <w:szCs w:val="24"/>
        </w:rPr>
        <w:t>uluslararası sözleşme hükümlerine aykırı</w:t>
      </w:r>
      <w:r w:rsidR="00272DFB">
        <w:rPr>
          <w:sz w:val="24"/>
          <w:szCs w:val="24"/>
        </w:rPr>
        <w:t>dır”</w:t>
      </w:r>
      <w:r w:rsidRPr="00FE0B54">
        <w:rPr>
          <w:sz w:val="24"/>
          <w:szCs w:val="24"/>
        </w:rPr>
        <w:t>dedi.</w:t>
      </w:r>
    </w:p>
    <w:p w14:paraId="5F7C0254" w14:textId="77777777" w:rsidR="003F1774" w:rsidRPr="00FE0B54" w:rsidRDefault="003F1774" w:rsidP="00FE0B54">
      <w:pPr>
        <w:spacing w:after="0" w:line="240" w:lineRule="auto"/>
        <w:jc w:val="both"/>
        <w:rPr>
          <w:sz w:val="24"/>
          <w:szCs w:val="24"/>
        </w:rPr>
      </w:pPr>
    </w:p>
    <w:p w14:paraId="337244A8" w14:textId="5BE61951" w:rsidR="003F1774" w:rsidRPr="00FE0B54" w:rsidRDefault="003F1774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Tüketici Hakları Derneği temsilcisi Sinan Vargı “</w:t>
      </w:r>
      <w:r w:rsidR="00FA7E36" w:rsidRPr="00FE0B54">
        <w:rPr>
          <w:sz w:val="24"/>
          <w:szCs w:val="24"/>
        </w:rPr>
        <w:t xml:space="preserve"> Neden Bahreyn’e halkının içemeyeceği kadar sigara sattığımızı vatandaş olarak merak etmekteyiz. Neden dünya tütün tüketimine katkıda </w:t>
      </w:r>
      <w:r w:rsidR="00FA7E36" w:rsidRPr="00FE0B54">
        <w:rPr>
          <w:sz w:val="24"/>
          <w:szCs w:val="24"/>
        </w:rPr>
        <w:lastRenderedPageBreak/>
        <w:t>bulunduğumuzu anlamamaktayız. Türkiye tütün ürününe karşı mıdır, değil midir karar vermelidir” dedi.</w:t>
      </w:r>
    </w:p>
    <w:p w14:paraId="43CA87EE" w14:textId="77777777" w:rsidR="0037310C" w:rsidRDefault="0037310C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4847B559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>Kaynaklar :</w:t>
      </w:r>
    </w:p>
    <w:p w14:paraId="0204F05A" w14:textId="77777777" w:rsidR="0014319F" w:rsidRPr="00FE0B54" w:rsidRDefault="0014319F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12855815" w14:textId="77777777" w:rsidR="000164FF" w:rsidRPr="00FE0B54" w:rsidRDefault="000164FF" w:rsidP="00FE0B5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E0B54">
        <w:rPr>
          <w:color w:val="000000" w:themeColor="text1"/>
          <w:sz w:val="24"/>
          <w:szCs w:val="24"/>
        </w:rPr>
        <w:t>TAPDK verileri</w:t>
      </w:r>
    </w:p>
    <w:p w14:paraId="2090D7A1" w14:textId="77777777" w:rsidR="000164FF" w:rsidRPr="00FE0B54" w:rsidRDefault="000164FF" w:rsidP="00FE0B5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FE0B54">
        <w:rPr>
          <w:color w:val="000000" w:themeColor="text1"/>
          <w:sz w:val="24"/>
          <w:szCs w:val="24"/>
        </w:rPr>
        <w:t>Tobacc</w:t>
      </w:r>
      <w:r w:rsidR="00A71E92" w:rsidRPr="00FE0B54">
        <w:rPr>
          <w:color w:val="000000" w:themeColor="text1"/>
          <w:sz w:val="24"/>
          <w:szCs w:val="24"/>
        </w:rPr>
        <w:t>o</w:t>
      </w:r>
      <w:proofErr w:type="spellEnd"/>
      <w:r w:rsidR="00A71E92" w:rsidRPr="00FE0B54">
        <w:rPr>
          <w:color w:val="000000" w:themeColor="text1"/>
          <w:sz w:val="24"/>
          <w:szCs w:val="24"/>
        </w:rPr>
        <w:t xml:space="preserve"> Atlas verileri</w:t>
      </w:r>
      <w:r w:rsidRPr="00FE0B54">
        <w:rPr>
          <w:color w:val="000000" w:themeColor="text1"/>
          <w:sz w:val="24"/>
          <w:szCs w:val="24"/>
        </w:rPr>
        <w:t xml:space="preserve"> http://www.tobacc</w:t>
      </w:r>
      <w:r w:rsidR="00A71E92" w:rsidRPr="00FE0B54">
        <w:rPr>
          <w:color w:val="000000" w:themeColor="text1"/>
          <w:sz w:val="24"/>
          <w:szCs w:val="24"/>
        </w:rPr>
        <w:t>oatlas.org</w:t>
      </w:r>
    </w:p>
    <w:p w14:paraId="6FACF63B" w14:textId="77777777" w:rsidR="000164FF" w:rsidRPr="00FE0B54" w:rsidRDefault="000164FF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596F1EDB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>T</w:t>
      </w:r>
      <w:r w:rsidR="00C44EB5" w:rsidRPr="00FE0B54">
        <w:rPr>
          <w:b/>
          <w:sz w:val="24"/>
          <w:szCs w:val="24"/>
        </w:rPr>
        <w:t>ablo</w:t>
      </w:r>
      <w:r w:rsidRPr="00FE0B54">
        <w:rPr>
          <w:b/>
          <w:sz w:val="24"/>
          <w:szCs w:val="24"/>
        </w:rPr>
        <w:t xml:space="preserve"> 1 Sigara iç satışlarında durum</w:t>
      </w:r>
    </w:p>
    <w:p w14:paraId="16FFA748" w14:textId="77777777" w:rsidR="00C44EB5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b/>
          <w:bCs/>
          <w:sz w:val="24"/>
          <w:szCs w:val="24"/>
        </w:rPr>
        <w:t>Türkiye’de sigara iç satışı (2003-2014)</w:t>
      </w:r>
    </w:p>
    <w:tbl>
      <w:tblPr>
        <w:tblW w:w="5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1263"/>
      </w:tblGrid>
      <w:tr w:rsidR="00C44EB5" w:rsidRPr="00FE0B54" w14:paraId="54E03DCD" w14:textId="77777777" w:rsidTr="00C44EB5"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121F6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Yıllar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0CC08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44EB5" w:rsidRPr="00FE0B54" w14:paraId="41A6D252" w14:textId="77777777" w:rsidTr="00C44E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FB4B8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4C91E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Miktar (Adet)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4484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Yıllık artış/düşüş</w:t>
            </w:r>
          </w:p>
        </w:tc>
      </w:tr>
      <w:tr w:rsidR="00C44EB5" w:rsidRPr="00FE0B54" w14:paraId="7AC4C9BB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F628A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41E4E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108.157.063.150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B4577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 </w:t>
            </w:r>
          </w:p>
        </w:tc>
      </w:tr>
      <w:tr w:rsidR="00C44EB5" w:rsidRPr="00FE0B54" w14:paraId="04CF4BE3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C1387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600FA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108.870.390.620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055FB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0,7%</w:t>
            </w:r>
          </w:p>
        </w:tc>
      </w:tr>
      <w:tr w:rsidR="00C44EB5" w:rsidRPr="00FE0B54" w14:paraId="5BFD4BD1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F04CE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8154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106.716.505.496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5E2D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-2,0%</w:t>
            </w:r>
          </w:p>
        </w:tc>
      </w:tr>
      <w:tr w:rsidR="00C44EB5" w:rsidRPr="00FE0B54" w14:paraId="5002C4F3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283B8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3E7C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107.908.692.050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0D25B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1,1%</w:t>
            </w:r>
          </w:p>
        </w:tc>
      </w:tr>
      <w:tr w:rsidR="00C44EB5" w:rsidRPr="00FE0B54" w14:paraId="44095AE1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A7A98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DC44D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107.454.965.620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0A8D1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-0,4%</w:t>
            </w:r>
          </w:p>
        </w:tc>
      </w:tr>
      <w:tr w:rsidR="00C44EB5" w:rsidRPr="00FE0B54" w14:paraId="216EE489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03471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8B08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107.858.908.399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A5229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0,4%</w:t>
            </w:r>
          </w:p>
        </w:tc>
      </w:tr>
      <w:tr w:rsidR="00C44EB5" w:rsidRPr="00FE0B54" w14:paraId="2F21F215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215FD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269E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107.554.976.198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64280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-0,3%</w:t>
            </w:r>
          </w:p>
        </w:tc>
      </w:tr>
      <w:tr w:rsidR="00C44EB5" w:rsidRPr="00FE0B54" w14:paraId="4A12A9BA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50D157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BDBE8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93.354.256.336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0434D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-13,2%</w:t>
            </w:r>
          </w:p>
        </w:tc>
      </w:tr>
      <w:tr w:rsidR="00C44EB5" w:rsidRPr="00FE0B54" w14:paraId="7D88B260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62CB8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E7B1E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91.217.479.040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5F36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-2,3%</w:t>
            </w:r>
          </w:p>
        </w:tc>
      </w:tr>
      <w:tr w:rsidR="00C44EB5" w:rsidRPr="00FE0B54" w14:paraId="1D91F980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010E7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5237E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99.257.052.660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F6DB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8,8%</w:t>
            </w:r>
          </w:p>
        </w:tc>
      </w:tr>
      <w:tr w:rsidR="00C44EB5" w:rsidRPr="00FE0B54" w14:paraId="52D4E66E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D776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B2E7E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91.659.534.370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383D3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-7,7%</w:t>
            </w:r>
          </w:p>
        </w:tc>
      </w:tr>
      <w:tr w:rsidR="00C44EB5" w:rsidRPr="00FE0B54" w14:paraId="47F4A05B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8ED51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510B9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94.681.206.450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F49F3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3,3%</w:t>
            </w:r>
          </w:p>
        </w:tc>
      </w:tr>
    </w:tbl>
    <w:p w14:paraId="0EB89BED" w14:textId="77777777" w:rsidR="00C44EB5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 xml:space="preserve"> Kaynak: </w:t>
      </w:r>
      <w:hyperlink r:id="rId7" w:history="1">
        <w:r w:rsidRPr="00FE0B54">
          <w:rPr>
            <w:rStyle w:val="Kpr"/>
            <w:sz w:val="24"/>
            <w:szCs w:val="24"/>
          </w:rPr>
          <w:t>http://www.tapdk.gov.tr/</w:t>
        </w:r>
      </w:hyperlink>
    </w:p>
    <w:p w14:paraId="5B4296E8" w14:textId="77777777" w:rsidR="00C44EB5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</w:p>
    <w:p w14:paraId="24A42AE2" w14:textId="77777777" w:rsidR="00C44EB5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</w:p>
    <w:p w14:paraId="490DE975" w14:textId="77777777" w:rsidR="006D0DF4" w:rsidRPr="00FE0B54" w:rsidRDefault="006D0DF4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>Tablo 2- Sigara üretiminde durum:</w:t>
      </w:r>
    </w:p>
    <w:p w14:paraId="35C200AD" w14:textId="77777777" w:rsidR="00C44EB5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</w:p>
    <w:p w14:paraId="6EA0B826" w14:textId="77777777" w:rsidR="00C44EB5" w:rsidRPr="00FE0B54" w:rsidRDefault="00C44EB5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>Türkiye’de sigara üretimi (2003-2014)</w:t>
      </w:r>
    </w:p>
    <w:tbl>
      <w:tblPr>
        <w:tblW w:w="5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1263"/>
      </w:tblGrid>
      <w:tr w:rsidR="00C44EB5" w:rsidRPr="00FE0B54" w14:paraId="1DC5D5B4" w14:textId="77777777" w:rsidTr="00C44EB5">
        <w:trPr>
          <w:trHeight w:val="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578B3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Yıllar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43E47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44EB5" w:rsidRPr="00FE0B54" w14:paraId="4FC6CD0B" w14:textId="77777777" w:rsidTr="00C44E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41ECD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E7D98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Miktar (Adet)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50D94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Yıllık artış/düşüş</w:t>
            </w:r>
          </w:p>
        </w:tc>
      </w:tr>
      <w:tr w:rsidR="00C44EB5" w:rsidRPr="00FE0B54" w14:paraId="6E4191A4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4F684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1DF6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120.943.286.260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51849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 </w:t>
            </w:r>
          </w:p>
        </w:tc>
      </w:tr>
      <w:tr w:rsidR="00C44EB5" w:rsidRPr="00FE0B54" w14:paraId="3D7B32DD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D3AB6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234F4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117.837.981.610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65082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-2,6%</w:t>
            </w:r>
          </w:p>
        </w:tc>
      </w:tr>
      <w:tr w:rsidR="00C44EB5" w:rsidRPr="00FE0B54" w14:paraId="6167FF59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B257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A517A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114.572.421.100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49514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-2,8%</w:t>
            </w:r>
          </w:p>
        </w:tc>
      </w:tr>
      <w:tr w:rsidR="00C44EB5" w:rsidRPr="00FE0B54" w14:paraId="24B61F71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BE66D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83CF6B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125.807.062.000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92465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9,8%</w:t>
            </w:r>
          </w:p>
        </w:tc>
      </w:tr>
      <w:tr w:rsidR="00C44EB5" w:rsidRPr="00FE0B54" w14:paraId="15A5F02A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10957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03FE6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126.119.539.320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0269B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0,2%</w:t>
            </w:r>
          </w:p>
        </w:tc>
      </w:tr>
      <w:tr w:rsidR="00C44EB5" w:rsidRPr="00FE0B54" w14:paraId="49FC8BB9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B254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28443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135.041.446.800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8EC42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7,1%</w:t>
            </w:r>
          </w:p>
        </w:tc>
      </w:tr>
      <w:tr w:rsidR="00C44EB5" w:rsidRPr="00FE0B54" w14:paraId="0DDE4AAB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919D6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11A95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132.912.630.061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59913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-1,6%</w:t>
            </w:r>
          </w:p>
        </w:tc>
      </w:tr>
      <w:tr w:rsidR="00C44EB5" w:rsidRPr="00FE0B54" w14:paraId="0AEB2236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330A7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E48CA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115.238.165.761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B4A38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-13,3%</w:t>
            </w:r>
          </w:p>
        </w:tc>
      </w:tr>
      <w:tr w:rsidR="00C44EB5" w:rsidRPr="00FE0B54" w14:paraId="5C933508" w14:textId="77777777" w:rsidTr="00C44EB5"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C1940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1AFD4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112.083.047.080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309FE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-2,7%</w:t>
            </w:r>
          </w:p>
        </w:tc>
      </w:tr>
      <w:tr w:rsidR="00C44EB5" w:rsidRPr="00FE0B54" w14:paraId="2234E69A" w14:textId="77777777" w:rsidTr="00C44EB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652FE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AA101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134.454.421.720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F8F2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20,0%</w:t>
            </w:r>
          </w:p>
        </w:tc>
      </w:tr>
      <w:tr w:rsidR="00C44EB5" w:rsidRPr="00FE0B54" w14:paraId="45BC9F0F" w14:textId="77777777" w:rsidTr="00C44EB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F6454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8E82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130.597.511.840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AAEA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-2,9%</w:t>
            </w:r>
          </w:p>
        </w:tc>
      </w:tr>
      <w:tr w:rsidR="00C44EB5" w:rsidRPr="00FE0B54" w14:paraId="14F0CED6" w14:textId="77777777" w:rsidTr="00C44EB5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EEA4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F5C5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142.894.873.580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77E9A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9,4%</w:t>
            </w:r>
          </w:p>
        </w:tc>
      </w:tr>
    </w:tbl>
    <w:p w14:paraId="753BA900" w14:textId="77777777" w:rsidR="00C44EB5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 xml:space="preserve">  Kaynak: </w:t>
      </w:r>
      <w:hyperlink r:id="rId8" w:history="1">
        <w:r w:rsidRPr="00FE0B54">
          <w:rPr>
            <w:rStyle w:val="Kpr"/>
            <w:sz w:val="24"/>
            <w:szCs w:val="24"/>
          </w:rPr>
          <w:t>http://www.tapdk.gov.tr/</w:t>
        </w:r>
      </w:hyperlink>
    </w:p>
    <w:p w14:paraId="0CCF6D39" w14:textId="77777777" w:rsidR="00C44EB5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</w:p>
    <w:p w14:paraId="0C9DDFE1" w14:textId="77777777" w:rsidR="00C44EB5" w:rsidRDefault="00C44EB5" w:rsidP="00FE0B54">
      <w:pPr>
        <w:spacing w:after="0" w:line="240" w:lineRule="auto"/>
        <w:jc w:val="both"/>
        <w:rPr>
          <w:sz w:val="24"/>
          <w:szCs w:val="24"/>
        </w:rPr>
      </w:pPr>
    </w:p>
    <w:p w14:paraId="31FA4B41" w14:textId="77777777" w:rsidR="00FE0B54" w:rsidRPr="00FE0B54" w:rsidRDefault="00FE0B54" w:rsidP="00FE0B54">
      <w:pPr>
        <w:spacing w:after="0" w:line="240" w:lineRule="auto"/>
        <w:jc w:val="both"/>
        <w:rPr>
          <w:sz w:val="24"/>
          <w:szCs w:val="24"/>
        </w:rPr>
      </w:pPr>
    </w:p>
    <w:p w14:paraId="29B7EB42" w14:textId="77777777" w:rsidR="00FE0B54" w:rsidRDefault="00FE0B54" w:rsidP="00FE0B54">
      <w:pPr>
        <w:spacing w:after="0" w:line="240" w:lineRule="auto"/>
        <w:jc w:val="both"/>
        <w:rPr>
          <w:b/>
          <w:sz w:val="24"/>
          <w:szCs w:val="24"/>
        </w:rPr>
      </w:pPr>
    </w:p>
    <w:p w14:paraId="1FA268BF" w14:textId="77777777" w:rsidR="00C44EB5" w:rsidRPr="00FE0B54" w:rsidRDefault="0014319F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>Tablo 3-</w:t>
      </w:r>
      <w:r w:rsidR="00C44EB5" w:rsidRPr="00FE0B54">
        <w:rPr>
          <w:b/>
          <w:sz w:val="24"/>
          <w:szCs w:val="24"/>
        </w:rPr>
        <w:t>Sigara ihracatı</w:t>
      </w:r>
      <w:r w:rsidRPr="00FE0B54">
        <w:rPr>
          <w:b/>
          <w:sz w:val="24"/>
          <w:szCs w:val="24"/>
        </w:rPr>
        <w:t>:</w:t>
      </w:r>
    </w:p>
    <w:p w14:paraId="34992F18" w14:textId="77777777" w:rsidR="005E5ABA" w:rsidRPr="00FE0B54" w:rsidRDefault="005E5ABA" w:rsidP="00FE0B54">
      <w:pPr>
        <w:spacing w:after="0" w:line="240" w:lineRule="auto"/>
        <w:jc w:val="both"/>
        <w:rPr>
          <w:sz w:val="24"/>
          <w:szCs w:val="24"/>
        </w:rPr>
      </w:pPr>
    </w:p>
    <w:p w14:paraId="73B07F09" w14:textId="77777777" w:rsidR="00C44EB5" w:rsidRPr="00FE0B54" w:rsidRDefault="005711C3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 xml:space="preserve">Türkiye’nin </w:t>
      </w:r>
      <w:r w:rsidR="00C44EB5" w:rsidRPr="00FE0B54">
        <w:rPr>
          <w:b/>
          <w:sz w:val="24"/>
          <w:szCs w:val="24"/>
        </w:rPr>
        <w:t>DİR kapsamı sigara ihracatı, ilk 5 ülke, 2014</w:t>
      </w:r>
    </w:p>
    <w:tbl>
      <w:tblPr>
        <w:tblW w:w="6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1940"/>
        <w:gridCol w:w="1940"/>
      </w:tblGrid>
      <w:tr w:rsidR="00C44EB5" w:rsidRPr="00FE0B54" w14:paraId="282B1A62" w14:textId="77777777" w:rsidTr="00C44EB5"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67BD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Ülke Adı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B00B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İhracat Miktarı (Adet)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E82DA0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Oran (%)</w:t>
            </w:r>
          </w:p>
        </w:tc>
      </w:tr>
      <w:tr w:rsidR="00C44EB5" w:rsidRPr="00FE0B54" w14:paraId="213AC1D7" w14:textId="77777777" w:rsidTr="00C44EB5"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FF17A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Bahreyn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FA0EC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8.181.488.000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D6223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18,29</w:t>
            </w:r>
          </w:p>
        </w:tc>
      </w:tr>
      <w:tr w:rsidR="00C44EB5" w:rsidRPr="00FE0B54" w14:paraId="1002D5E8" w14:textId="77777777" w:rsidTr="00C44EB5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B28E0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İran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BF610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6.534.590.000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B91BD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14,61</w:t>
            </w:r>
          </w:p>
        </w:tc>
      </w:tr>
      <w:tr w:rsidR="00C44EB5" w:rsidRPr="00FE0B54" w14:paraId="0A01FE7D" w14:textId="77777777" w:rsidTr="00C44EB5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4DB61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Irak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0F7A0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6.233.460.000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8715F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13,94</w:t>
            </w:r>
          </w:p>
        </w:tc>
      </w:tr>
      <w:tr w:rsidR="00C44EB5" w:rsidRPr="00FE0B54" w14:paraId="736E77A0" w14:textId="77777777" w:rsidTr="00C44EB5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CC500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Lübnan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E3E54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3.489.604.000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A1899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7,80</w:t>
            </w:r>
          </w:p>
        </w:tc>
      </w:tr>
      <w:tr w:rsidR="00C44EB5" w:rsidRPr="00FE0B54" w14:paraId="4186FF39" w14:textId="77777777" w:rsidTr="00C44EB5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0315B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İsrail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25030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3.259.608.000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B4371" w14:textId="77777777" w:rsidR="00C44EB5" w:rsidRPr="00FE0B54" w:rsidRDefault="00C44EB5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7,29</w:t>
            </w:r>
          </w:p>
        </w:tc>
      </w:tr>
    </w:tbl>
    <w:p w14:paraId="72F9F7E2" w14:textId="77777777" w:rsidR="00D9130F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 </w:t>
      </w:r>
      <w:r w:rsidR="00D9130F" w:rsidRPr="00FE0B54">
        <w:rPr>
          <w:sz w:val="24"/>
          <w:szCs w:val="24"/>
        </w:rPr>
        <w:t xml:space="preserve">  Kaynak: </w:t>
      </w:r>
      <w:hyperlink r:id="rId9" w:history="1">
        <w:r w:rsidR="00D9130F" w:rsidRPr="00FE0B54">
          <w:rPr>
            <w:rStyle w:val="Kpr"/>
            <w:sz w:val="24"/>
            <w:szCs w:val="24"/>
          </w:rPr>
          <w:t>http://www.tapdk.gov.tr/</w:t>
        </w:r>
      </w:hyperlink>
    </w:p>
    <w:p w14:paraId="7AA7928F" w14:textId="77777777" w:rsidR="00C44EB5" w:rsidRPr="00FE0B54" w:rsidRDefault="00C44EB5" w:rsidP="00FE0B54">
      <w:pPr>
        <w:spacing w:after="0" w:line="240" w:lineRule="auto"/>
        <w:jc w:val="both"/>
        <w:rPr>
          <w:sz w:val="24"/>
          <w:szCs w:val="24"/>
        </w:rPr>
      </w:pPr>
    </w:p>
    <w:p w14:paraId="73F741A2" w14:textId="77777777" w:rsidR="005711C3" w:rsidRPr="00FE0B54" w:rsidRDefault="0014319F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 xml:space="preserve">Tablo 4: </w:t>
      </w:r>
      <w:r w:rsidR="005711C3" w:rsidRPr="00FE0B54">
        <w:rPr>
          <w:b/>
          <w:sz w:val="24"/>
          <w:szCs w:val="24"/>
        </w:rPr>
        <w:t>Türkiye’nin Bahreyn’e sigara ihracatındaki artış (2008-2014)</w:t>
      </w:r>
    </w:p>
    <w:tbl>
      <w:tblPr>
        <w:tblW w:w="3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20"/>
        <w:gridCol w:w="1300"/>
      </w:tblGrid>
      <w:tr w:rsidR="005711C3" w:rsidRPr="00FE0B54" w14:paraId="656AE717" w14:textId="77777777" w:rsidTr="005711C3"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DDC43" w14:textId="77777777" w:rsidR="005711C3" w:rsidRPr="00FE0B54" w:rsidRDefault="005711C3" w:rsidP="00FE0B54">
            <w:pPr>
              <w:spacing w:after="0" w:line="240" w:lineRule="auto"/>
              <w:jc w:val="both"/>
              <w:divId w:val="315692522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7E337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İhracat Miktarı (Adet)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4659C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Yıllık artış oranı</w:t>
            </w:r>
          </w:p>
        </w:tc>
      </w:tr>
      <w:tr w:rsidR="005711C3" w:rsidRPr="00FE0B54" w14:paraId="642EA6E0" w14:textId="77777777" w:rsidTr="005711C3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039E4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9C62E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92.050.000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4B132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 </w:t>
            </w:r>
          </w:p>
        </w:tc>
      </w:tr>
      <w:tr w:rsidR="005711C3" w:rsidRPr="00FE0B54" w14:paraId="0D27337C" w14:textId="77777777" w:rsidTr="005711C3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4C5CD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52EED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152.240.000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611D7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65,4%</w:t>
            </w:r>
          </w:p>
        </w:tc>
      </w:tr>
      <w:tr w:rsidR="005711C3" w:rsidRPr="00FE0B54" w14:paraId="38D158E3" w14:textId="77777777" w:rsidTr="005711C3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ECF60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6599C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427.000.000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8974F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180,5%</w:t>
            </w:r>
          </w:p>
        </w:tc>
      </w:tr>
      <w:tr w:rsidR="005711C3" w:rsidRPr="00FE0B54" w14:paraId="3684075B" w14:textId="77777777" w:rsidTr="005711C3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BD63B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67724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878.330.000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57485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105,7%</w:t>
            </w:r>
          </w:p>
        </w:tc>
      </w:tr>
      <w:tr w:rsidR="005711C3" w:rsidRPr="00FE0B54" w14:paraId="7BB64DB4" w14:textId="77777777" w:rsidTr="005711C3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AFD69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86655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2.371.360.000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AA5C6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170,0%</w:t>
            </w:r>
          </w:p>
        </w:tc>
      </w:tr>
      <w:tr w:rsidR="005711C3" w:rsidRPr="00FE0B54" w14:paraId="69745619" w14:textId="77777777" w:rsidTr="005711C3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FFC1D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7929E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7.005.770.000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08612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195,4%</w:t>
            </w:r>
          </w:p>
        </w:tc>
      </w:tr>
      <w:tr w:rsidR="005711C3" w:rsidRPr="00FE0B54" w14:paraId="24CC456B" w14:textId="77777777" w:rsidTr="005711C3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7FD10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40B94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8.181.488.000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D1285" w14:textId="77777777" w:rsidR="005711C3" w:rsidRPr="00FE0B54" w:rsidRDefault="005711C3" w:rsidP="00FE0B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16,8%</w:t>
            </w:r>
          </w:p>
        </w:tc>
      </w:tr>
    </w:tbl>
    <w:p w14:paraId="4B8FF030" w14:textId="77777777" w:rsidR="00D9130F" w:rsidRPr="00FE0B54" w:rsidRDefault="005711C3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> </w:t>
      </w:r>
      <w:r w:rsidR="00D9130F" w:rsidRPr="00FE0B54">
        <w:rPr>
          <w:sz w:val="24"/>
          <w:szCs w:val="24"/>
        </w:rPr>
        <w:t xml:space="preserve">  Kaynak: </w:t>
      </w:r>
      <w:hyperlink r:id="rId10" w:history="1">
        <w:r w:rsidR="00D9130F" w:rsidRPr="00FE0B54">
          <w:rPr>
            <w:rStyle w:val="Kpr"/>
            <w:sz w:val="24"/>
            <w:szCs w:val="24"/>
          </w:rPr>
          <w:t>http://www.tapdk.gov.tr/</w:t>
        </w:r>
      </w:hyperlink>
    </w:p>
    <w:p w14:paraId="6BFE44DD" w14:textId="77777777" w:rsidR="005711C3" w:rsidRPr="00FE0B54" w:rsidRDefault="005711C3" w:rsidP="00FE0B54">
      <w:pPr>
        <w:spacing w:after="0" w:line="240" w:lineRule="auto"/>
        <w:jc w:val="both"/>
        <w:rPr>
          <w:sz w:val="24"/>
          <w:szCs w:val="24"/>
        </w:rPr>
      </w:pPr>
    </w:p>
    <w:p w14:paraId="126274C7" w14:textId="77777777" w:rsidR="00802941" w:rsidRPr="00FE0B54" w:rsidRDefault="0014319F" w:rsidP="00FE0B54">
      <w:pPr>
        <w:spacing w:after="0" w:line="240" w:lineRule="auto"/>
        <w:jc w:val="both"/>
        <w:rPr>
          <w:b/>
          <w:sz w:val="24"/>
          <w:szCs w:val="24"/>
        </w:rPr>
      </w:pPr>
      <w:r w:rsidRPr="00FE0B54">
        <w:rPr>
          <w:b/>
          <w:sz w:val="24"/>
          <w:szCs w:val="24"/>
        </w:rPr>
        <w:t xml:space="preserve">Tablo 5: </w:t>
      </w:r>
      <w:proofErr w:type="spellStart"/>
      <w:r w:rsidR="00802941" w:rsidRPr="00FE0B54">
        <w:rPr>
          <w:b/>
          <w:sz w:val="24"/>
          <w:szCs w:val="24"/>
        </w:rPr>
        <w:t>Nargilelik</w:t>
      </w:r>
      <w:proofErr w:type="spellEnd"/>
      <w:r w:rsidR="00802941" w:rsidRPr="00FE0B54">
        <w:rPr>
          <w:b/>
          <w:sz w:val="24"/>
          <w:szCs w:val="24"/>
        </w:rPr>
        <w:t xml:space="preserve"> tütün ihracatı</w:t>
      </w:r>
    </w:p>
    <w:p w14:paraId="7614C7AC" w14:textId="77777777" w:rsidR="00802941" w:rsidRPr="00FE0B54" w:rsidRDefault="00802941" w:rsidP="00FE0B5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16"/>
        <w:gridCol w:w="1788"/>
        <w:gridCol w:w="1544"/>
      </w:tblGrid>
      <w:tr w:rsidR="00802941" w:rsidRPr="00FE0B54" w14:paraId="343D5A82" w14:textId="77777777" w:rsidTr="00802941">
        <w:trPr>
          <w:trHeight w:val="315"/>
        </w:trPr>
        <w:tc>
          <w:tcPr>
            <w:tcW w:w="916" w:type="dxa"/>
            <w:vMerge w:val="restart"/>
            <w:hideMark/>
          </w:tcPr>
          <w:p w14:paraId="163D0E2B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Yıllar</w:t>
            </w:r>
          </w:p>
        </w:tc>
        <w:tc>
          <w:tcPr>
            <w:tcW w:w="1788" w:type="dxa"/>
            <w:noWrap/>
            <w:hideMark/>
          </w:tcPr>
          <w:p w14:paraId="3F5544B0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Üretim</w:t>
            </w:r>
          </w:p>
        </w:tc>
        <w:tc>
          <w:tcPr>
            <w:tcW w:w="1544" w:type="dxa"/>
          </w:tcPr>
          <w:p w14:paraId="4538EF33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İhracat</w:t>
            </w:r>
          </w:p>
        </w:tc>
      </w:tr>
      <w:tr w:rsidR="00802941" w:rsidRPr="00FE0B54" w14:paraId="45873175" w14:textId="77777777" w:rsidTr="00802941">
        <w:trPr>
          <w:trHeight w:val="422"/>
        </w:trPr>
        <w:tc>
          <w:tcPr>
            <w:tcW w:w="916" w:type="dxa"/>
            <w:vMerge/>
            <w:hideMark/>
          </w:tcPr>
          <w:p w14:paraId="30C6050B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hideMark/>
          </w:tcPr>
          <w:p w14:paraId="37BC4C57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Miktar (Kg)</w:t>
            </w:r>
          </w:p>
        </w:tc>
        <w:tc>
          <w:tcPr>
            <w:tcW w:w="1544" w:type="dxa"/>
            <w:hideMark/>
          </w:tcPr>
          <w:p w14:paraId="4DC97B2C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Miktar (Kg)</w:t>
            </w:r>
          </w:p>
        </w:tc>
      </w:tr>
      <w:tr w:rsidR="00802941" w:rsidRPr="00FE0B54" w14:paraId="4D38A3D2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6E81339C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1788" w:type="dxa"/>
            <w:noWrap/>
            <w:hideMark/>
          </w:tcPr>
          <w:p w14:paraId="6DA5ED44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36.343</w:t>
            </w:r>
          </w:p>
        </w:tc>
        <w:tc>
          <w:tcPr>
            <w:tcW w:w="1544" w:type="dxa"/>
            <w:noWrap/>
            <w:hideMark/>
          </w:tcPr>
          <w:p w14:paraId="118C44D0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0</w:t>
            </w:r>
          </w:p>
        </w:tc>
      </w:tr>
      <w:tr w:rsidR="00802941" w:rsidRPr="00FE0B54" w14:paraId="11A9D285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10F19B57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88" w:type="dxa"/>
            <w:noWrap/>
            <w:hideMark/>
          </w:tcPr>
          <w:p w14:paraId="1FE1093C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48.321</w:t>
            </w:r>
          </w:p>
        </w:tc>
        <w:tc>
          <w:tcPr>
            <w:tcW w:w="1544" w:type="dxa"/>
            <w:noWrap/>
            <w:hideMark/>
          </w:tcPr>
          <w:p w14:paraId="172C1838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0</w:t>
            </w:r>
          </w:p>
        </w:tc>
      </w:tr>
      <w:tr w:rsidR="00802941" w:rsidRPr="00FE0B54" w14:paraId="6072C06D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3AFDF84E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1788" w:type="dxa"/>
            <w:noWrap/>
            <w:hideMark/>
          </w:tcPr>
          <w:p w14:paraId="3C2BA6D2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70.731</w:t>
            </w:r>
          </w:p>
        </w:tc>
        <w:tc>
          <w:tcPr>
            <w:tcW w:w="1544" w:type="dxa"/>
            <w:noWrap/>
            <w:hideMark/>
          </w:tcPr>
          <w:p w14:paraId="71ABA200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0</w:t>
            </w:r>
          </w:p>
        </w:tc>
      </w:tr>
      <w:tr w:rsidR="00802941" w:rsidRPr="00FE0B54" w14:paraId="6F8E487E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2D4CFB21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1788" w:type="dxa"/>
            <w:noWrap/>
            <w:hideMark/>
          </w:tcPr>
          <w:p w14:paraId="7D4AD92E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82.442</w:t>
            </w:r>
          </w:p>
        </w:tc>
        <w:tc>
          <w:tcPr>
            <w:tcW w:w="1544" w:type="dxa"/>
            <w:noWrap/>
            <w:hideMark/>
          </w:tcPr>
          <w:p w14:paraId="3B7AC2C1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62.522</w:t>
            </w:r>
          </w:p>
        </w:tc>
      </w:tr>
      <w:tr w:rsidR="00802941" w:rsidRPr="00FE0B54" w14:paraId="3B5198F8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407FF692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1788" w:type="dxa"/>
            <w:noWrap/>
            <w:hideMark/>
          </w:tcPr>
          <w:p w14:paraId="08230EFE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41.969</w:t>
            </w:r>
          </w:p>
        </w:tc>
        <w:tc>
          <w:tcPr>
            <w:tcW w:w="1544" w:type="dxa"/>
            <w:noWrap/>
            <w:hideMark/>
          </w:tcPr>
          <w:p w14:paraId="4402D27B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22.430</w:t>
            </w:r>
          </w:p>
        </w:tc>
      </w:tr>
      <w:tr w:rsidR="00802941" w:rsidRPr="00FE0B54" w14:paraId="3DA931D5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4466253B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788" w:type="dxa"/>
            <w:noWrap/>
            <w:hideMark/>
          </w:tcPr>
          <w:p w14:paraId="1DAF18AF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37.805</w:t>
            </w:r>
          </w:p>
        </w:tc>
        <w:tc>
          <w:tcPr>
            <w:tcW w:w="1544" w:type="dxa"/>
            <w:noWrap/>
            <w:hideMark/>
          </w:tcPr>
          <w:p w14:paraId="6152B9A7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22.124</w:t>
            </w:r>
          </w:p>
        </w:tc>
      </w:tr>
      <w:tr w:rsidR="00802941" w:rsidRPr="00FE0B54" w14:paraId="69C42D75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1EE97D04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1788" w:type="dxa"/>
            <w:noWrap/>
            <w:hideMark/>
          </w:tcPr>
          <w:p w14:paraId="7E6DC49C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27.121</w:t>
            </w:r>
          </w:p>
        </w:tc>
        <w:tc>
          <w:tcPr>
            <w:tcW w:w="1544" w:type="dxa"/>
            <w:noWrap/>
            <w:hideMark/>
          </w:tcPr>
          <w:p w14:paraId="541CA3C9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10.738</w:t>
            </w:r>
          </w:p>
        </w:tc>
      </w:tr>
      <w:tr w:rsidR="00802941" w:rsidRPr="00FE0B54" w14:paraId="1E25F980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2610E0BC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788" w:type="dxa"/>
            <w:noWrap/>
            <w:hideMark/>
          </w:tcPr>
          <w:p w14:paraId="708A501B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32.828</w:t>
            </w:r>
          </w:p>
        </w:tc>
        <w:tc>
          <w:tcPr>
            <w:tcW w:w="1544" w:type="dxa"/>
            <w:noWrap/>
            <w:hideMark/>
          </w:tcPr>
          <w:p w14:paraId="0530046A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23.144</w:t>
            </w:r>
          </w:p>
        </w:tc>
      </w:tr>
      <w:tr w:rsidR="00802941" w:rsidRPr="00FE0B54" w14:paraId="36ADC441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31E176AC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788" w:type="dxa"/>
            <w:noWrap/>
            <w:hideMark/>
          </w:tcPr>
          <w:p w14:paraId="31926FCA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32.215</w:t>
            </w:r>
          </w:p>
        </w:tc>
        <w:tc>
          <w:tcPr>
            <w:tcW w:w="1544" w:type="dxa"/>
            <w:noWrap/>
            <w:hideMark/>
          </w:tcPr>
          <w:p w14:paraId="59D760EA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21.371</w:t>
            </w:r>
          </w:p>
        </w:tc>
      </w:tr>
      <w:tr w:rsidR="00802941" w:rsidRPr="00FE0B54" w14:paraId="092A3064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434EC3E2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788" w:type="dxa"/>
            <w:noWrap/>
            <w:hideMark/>
          </w:tcPr>
          <w:p w14:paraId="3FBD9FE0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42.198</w:t>
            </w:r>
          </w:p>
        </w:tc>
        <w:tc>
          <w:tcPr>
            <w:tcW w:w="1544" w:type="dxa"/>
            <w:noWrap/>
            <w:hideMark/>
          </w:tcPr>
          <w:p w14:paraId="68AB27FE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22.256</w:t>
            </w:r>
          </w:p>
        </w:tc>
      </w:tr>
      <w:tr w:rsidR="00802941" w:rsidRPr="00FE0B54" w14:paraId="610070B0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328F1C22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788" w:type="dxa"/>
            <w:noWrap/>
            <w:hideMark/>
          </w:tcPr>
          <w:p w14:paraId="373719D8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167.257</w:t>
            </w:r>
          </w:p>
        </w:tc>
        <w:tc>
          <w:tcPr>
            <w:tcW w:w="1544" w:type="dxa"/>
            <w:noWrap/>
            <w:hideMark/>
          </w:tcPr>
          <w:p w14:paraId="57E756F9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163.164</w:t>
            </w:r>
          </w:p>
        </w:tc>
      </w:tr>
      <w:tr w:rsidR="00802941" w:rsidRPr="00FE0B54" w14:paraId="317E4213" w14:textId="77777777" w:rsidTr="00802941">
        <w:trPr>
          <w:trHeight w:val="390"/>
        </w:trPr>
        <w:tc>
          <w:tcPr>
            <w:tcW w:w="916" w:type="dxa"/>
            <w:noWrap/>
            <w:hideMark/>
          </w:tcPr>
          <w:p w14:paraId="68EFEECB" w14:textId="77777777" w:rsidR="00802941" w:rsidRPr="00FE0B54" w:rsidRDefault="00802941" w:rsidP="00FE0B54">
            <w:pPr>
              <w:jc w:val="both"/>
              <w:rPr>
                <w:b/>
                <w:bCs/>
                <w:sz w:val="24"/>
                <w:szCs w:val="24"/>
              </w:rPr>
            </w:pPr>
            <w:r w:rsidRPr="00FE0B54">
              <w:rPr>
                <w:b/>
                <w:bCs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788" w:type="dxa"/>
            <w:noWrap/>
            <w:hideMark/>
          </w:tcPr>
          <w:p w14:paraId="57A8E04D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341.873</w:t>
            </w:r>
          </w:p>
        </w:tc>
        <w:tc>
          <w:tcPr>
            <w:tcW w:w="1544" w:type="dxa"/>
            <w:noWrap/>
            <w:hideMark/>
          </w:tcPr>
          <w:p w14:paraId="04B1BBCC" w14:textId="77777777" w:rsidR="00802941" w:rsidRPr="00FE0B54" w:rsidRDefault="00802941" w:rsidP="00FE0B54">
            <w:pPr>
              <w:jc w:val="both"/>
              <w:rPr>
                <w:sz w:val="24"/>
                <w:szCs w:val="24"/>
              </w:rPr>
            </w:pPr>
            <w:r w:rsidRPr="00FE0B54">
              <w:rPr>
                <w:sz w:val="24"/>
                <w:szCs w:val="24"/>
              </w:rPr>
              <w:t>341.446</w:t>
            </w:r>
          </w:p>
        </w:tc>
      </w:tr>
    </w:tbl>
    <w:p w14:paraId="1803D708" w14:textId="2E5B3284" w:rsidR="005711C3" w:rsidRPr="00FE0B54" w:rsidRDefault="00D9130F" w:rsidP="00FE0B54">
      <w:pPr>
        <w:spacing w:after="0" w:line="240" w:lineRule="auto"/>
        <w:jc w:val="both"/>
        <w:rPr>
          <w:sz w:val="24"/>
          <w:szCs w:val="24"/>
        </w:rPr>
      </w:pPr>
      <w:r w:rsidRPr="00FE0B54">
        <w:rPr>
          <w:sz w:val="24"/>
          <w:szCs w:val="24"/>
        </w:rPr>
        <w:t xml:space="preserve">  Kaynak: </w:t>
      </w:r>
      <w:hyperlink r:id="rId11" w:history="1">
        <w:r w:rsidRPr="00FE0B54">
          <w:rPr>
            <w:rStyle w:val="Kpr"/>
            <w:sz w:val="24"/>
            <w:szCs w:val="24"/>
          </w:rPr>
          <w:t>http://www.tapdk.gov.tr/</w:t>
        </w:r>
      </w:hyperlink>
    </w:p>
    <w:sectPr w:rsidR="005711C3" w:rsidRPr="00FE0B54" w:rsidSect="00FE0B5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6A8"/>
    <w:multiLevelType w:val="hybridMultilevel"/>
    <w:tmpl w:val="0646EE6E"/>
    <w:lvl w:ilvl="0" w:tplc="8138A456">
      <w:start w:val="1"/>
      <w:numFmt w:val="decimal"/>
      <w:lvlText w:val="%1)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B5"/>
    <w:rsid w:val="000012DF"/>
    <w:rsid w:val="00005C38"/>
    <w:rsid w:val="0000650D"/>
    <w:rsid w:val="0001190F"/>
    <w:rsid w:val="00013389"/>
    <w:rsid w:val="00015482"/>
    <w:rsid w:val="000164FF"/>
    <w:rsid w:val="00016E49"/>
    <w:rsid w:val="000179DA"/>
    <w:rsid w:val="000208B8"/>
    <w:rsid w:val="00022B31"/>
    <w:rsid w:val="00025306"/>
    <w:rsid w:val="00025D7A"/>
    <w:rsid w:val="00026AF8"/>
    <w:rsid w:val="00027997"/>
    <w:rsid w:val="00027E1B"/>
    <w:rsid w:val="00030626"/>
    <w:rsid w:val="00030920"/>
    <w:rsid w:val="000312BA"/>
    <w:rsid w:val="000323B6"/>
    <w:rsid w:val="00032A38"/>
    <w:rsid w:val="00033283"/>
    <w:rsid w:val="000334D9"/>
    <w:rsid w:val="000334F4"/>
    <w:rsid w:val="000350C0"/>
    <w:rsid w:val="00035DB0"/>
    <w:rsid w:val="0003642C"/>
    <w:rsid w:val="00036849"/>
    <w:rsid w:val="000402C1"/>
    <w:rsid w:val="00041772"/>
    <w:rsid w:val="00041B96"/>
    <w:rsid w:val="00043958"/>
    <w:rsid w:val="0004660F"/>
    <w:rsid w:val="0005026F"/>
    <w:rsid w:val="00051A9E"/>
    <w:rsid w:val="00053D33"/>
    <w:rsid w:val="000556E6"/>
    <w:rsid w:val="000567AA"/>
    <w:rsid w:val="000627F3"/>
    <w:rsid w:val="00067CEB"/>
    <w:rsid w:val="00072C3A"/>
    <w:rsid w:val="00073234"/>
    <w:rsid w:val="0007420A"/>
    <w:rsid w:val="000874C2"/>
    <w:rsid w:val="00090008"/>
    <w:rsid w:val="000901EF"/>
    <w:rsid w:val="0009022B"/>
    <w:rsid w:val="0009107D"/>
    <w:rsid w:val="00091FA7"/>
    <w:rsid w:val="00092AC7"/>
    <w:rsid w:val="0009644B"/>
    <w:rsid w:val="00097685"/>
    <w:rsid w:val="000A118C"/>
    <w:rsid w:val="000A14C4"/>
    <w:rsid w:val="000A1F62"/>
    <w:rsid w:val="000A4900"/>
    <w:rsid w:val="000A6CA7"/>
    <w:rsid w:val="000A7E2A"/>
    <w:rsid w:val="000B0E24"/>
    <w:rsid w:val="000B4988"/>
    <w:rsid w:val="000C02A7"/>
    <w:rsid w:val="000C179C"/>
    <w:rsid w:val="000C522F"/>
    <w:rsid w:val="000C75E5"/>
    <w:rsid w:val="000D5881"/>
    <w:rsid w:val="000D7D2F"/>
    <w:rsid w:val="000E47E5"/>
    <w:rsid w:val="000E53F4"/>
    <w:rsid w:val="000E7DD3"/>
    <w:rsid w:val="000F0EAF"/>
    <w:rsid w:val="000F2F28"/>
    <w:rsid w:val="000F370E"/>
    <w:rsid w:val="000F4C89"/>
    <w:rsid w:val="00102FB1"/>
    <w:rsid w:val="0010561F"/>
    <w:rsid w:val="001057F5"/>
    <w:rsid w:val="0010584E"/>
    <w:rsid w:val="00105E80"/>
    <w:rsid w:val="001076E8"/>
    <w:rsid w:val="001077B1"/>
    <w:rsid w:val="00110AB1"/>
    <w:rsid w:val="0011268C"/>
    <w:rsid w:val="001160FC"/>
    <w:rsid w:val="00117098"/>
    <w:rsid w:val="00117287"/>
    <w:rsid w:val="001205DD"/>
    <w:rsid w:val="001218D6"/>
    <w:rsid w:val="0012239F"/>
    <w:rsid w:val="0013033D"/>
    <w:rsid w:val="00133CB4"/>
    <w:rsid w:val="00133EE0"/>
    <w:rsid w:val="001359A1"/>
    <w:rsid w:val="0013606A"/>
    <w:rsid w:val="0013653A"/>
    <w:rsid w:val="00136580"/>
    <w:rsid w:val="00141064"/>
    <w:rsid w:val="001415B1"/>
    <w:rsid w:val="001418A0"/>
    <w:rsid w:val="001427DB"/>
    <w:rsid w:val="001427EA"/>
    <w:rsid w:val="0014319F"/>
    <w:rsid w:val="00144A8F"/>
    <w:rsid w:val="0014558B"/>
    <w:rsid w:val="0014598E"/>
    <w:rsid w:val="001508DD"/>
    <w:rsid w:val="00150B03"/>
    <w:rsid w:val="0015114A"/>
    <w:rsid w:val="00155BDF"/>
    <w:rsid w:val="00160581"/>
    <w:rsid w:val="00163490"/>
    <w:rsid w:val="001730D2"/>
    <w:rsid w:val="00180985"/>
    <w:rsid w:val="00180A62"/>
    <w:rsid w:val="00182053"/>
    <w:rsid w:val="001852C0"/>
    <w:rsid w:val="00186079"/>
    <w:rsid w:val="00186C29"/>
    <w:rsid w:val="00187069"/>
    <w:rsid w:val="00187703"/>
    <w:rsid w:val="0019012E"/>
    <w:rsid w:val="00190654"/>
    <w:rsid w:val="001913AA"/>
    <w:rsid w:val="00193559"/>
    <w:rsid w:val="00197CE8"/>
    <w:rsid w:val="001A13A6"/>
    <w:rsid w:val="001A49CE"/>
    <w:rsid w:val="001A5A18"/>
    <w:rsid w:val="001A694A"/>
    <w:rsid w:val="001B2D43"/>
    <w:rsid w:val="001B4D4D"/>
    <w:rsid w:val="001B7533"/>
    <w:rsid w:val="001C080B"/>
    <w:rsid w:val="001C12E0"/>
    <w:rsid w:val="001C3361"/>
    <w:rsid w:val="001C3901"/>
    <w:rsid w:val="001C3B8D"/>
    <w:rsid w:val="001C3C34"/>
    <w:rsid w:val="001C3DEC"/>
    <w:rsid w:val="001C4287"/>
    <w:rsid w:val="001C45EC"/>
    <w:rsid w:val="001C471D"/>
    <w:rsid w:val="001C50CC"/>
    <w:rsid w:val="001C7BBE"/>
    <w:rsid w:val="001D05CE"/>
    <w:rsid w:val="001D22D5"/>
    <w:rsid w:val="001D2B6F"/>
    <w:rsid w:val="001D2CBD"/>
    <w:rsid w:val="001D3BC2"/>
    <w:rsid w:val="001D5090"/>
    <w:rsid w:val="001D6DA7"/>
    <w:rsid w:val="001E183C"/>
    <w:rsid w:val="001E441B"/>
    <w:rsid w:val="001E7802"/>
    <w:rsid w:val="001F0768"/>
    <w:rsid w:val="001F1A63"/>
    <w:rsid w:val="001F27B7"/>
    <w:rsid w:val="001F2C52"/>
    <w:rsid w:val="001F376E"/>
    <w:rsid w:val="001F3BCC"/>
    <w:rsid w:val="001F3FFD"/>
    <w:rsid w:val="001F5D70"/>
    <w:rsid w:val="001F7A8C"/>
    <w:rsid w:val="001F7DA9"/>
    <w:rsid w:val="002019F6"/>
    <w:rsid w:val="00203EA0"/>
    <w:rsid w:val="00204D3C"/>
    <w:rsid w:val="002052EE"/>
    <w:rsid w:val="002066C5"/>
    <w:rsid w:val="00212FD2"/>
    <w:rsid w:val="00214AA5"/>
    <w:rsid w:val="00214B00"/>
    <w:rsid w:val="002156DE"/>
    <w:rsid w:val="00217859"/>
    <w:rsid w:val="002235D7"/>
    <w:rsid w:val="00226ED2"/>
    <w:rsid w:val="002272F5"/>
    <w:rsid w:val="002275D2"/>
    <w:rsid w:val="00234356"/>
    <w:rsid w:val="00234772"/>
    <w:rsid w:val="0023607F"/>
    <w:rsid w:val="00236292"/>
    <w:rsid w:val="0023742A"/>
    <w:rsid w:val="002374DE"/>
    <w:rsid w:val="0024226E"/>
    <w:rsid w:val="00242D4A"/>
    <w:rsid w:val="00242FF0"/>
    <w:rsid w:val="0024336C"/>
    <w:rsid w:val="002455FC"/>
    <w:rsid w:val="00246010"/>
    <w:rsid w:val="002471C6"/>
    <w:rsid w:val="002521B2"/>
    <w:rsid w:val="002529EE"/>
    <w:rsid w:val="002572B9"/>
    <w:rsid w:val="002639C4"/>
    <w:rsid w:val="00263FE1"/>
    <w:rsid w:val="0027024B"/>
    <w:rsid w:val="002705B7"/>
    <w:rsid w:val="00270BC3"/>
    <w:rsid w:val="00272002"/>
    <w:rsid w:val="00272DFB"/>
    <w:rsid w:val="00275024"/>
    <w:rsid w:val="002766F8"/>
    <w:rsid w:val="00277ED7"/>
    <w:rsid w:val="00282341"/>
    <w:rsid w:val="00282B61"/>
    <w:rsid w:val="00287618"/>
    <w:rsid w:val="002903C3"/>
    <w:rsid w:val="002908CC"/>
    <w:rsid w:val="002918F6"/>
    <w:rsid w:val="00293478"/>
    <w:rsid w:val="0029533A"/>
    <w:rsid w:val="002A137D"/>
    <w:rsid w:val="002A1480"/>
    <w:rsid w:val="002A171C"/>
    <w:rsid w:val="002A3CFF"/>
    <w:rsid w:val="002A6CCF"/>
    <w:rsid w:val="002B32A5"/>
    <w:rsid w:val="002B60A7"/>
    <w:rsid w:val="002B6D86"/>
    <w:rsid w:val="002B7315"/>
    <w:rsid w:val="002B7865"/>
    <w:rsid w:val="002C1F86"/>
    <w:rsid w:val="002C2A34"/>
    <w:rsid w:val="002C3D0D"/>
    <w:rsid w:val="002C6483"/>
    <w:rsid w:val="002C6542"/>
    <w:rsid w:val="002C6D1F"/>
    <w:rsid w:val="002C702D"/>
    <w:rsid w:val="002D0240"/>
    <w:rsid w:val="002D6B87"/>
    <w:rsid w:val="002E0B7C"/>
    <w:rsid w:val="002E12EB"/>
    <w:rsid w:val="002E18DC"/>
    <w:rsid w:val="002E2338"/>
    <w:rsid w:val="002E2DDF"/>
    <w:rsid w:val="002E35A2"/>
    <w:rsid w:val="002E70A3"/>
    <w:rsid w:val="002F10AA"/>
    <w:rsid w:val="002F3D8B"/>
    <w:rsid w:val="002F405D"/>
    <w:rsid w:val="002F51F6"/>
    <w:rsid w:val="002F5D70"/>
    <w:rsid w:val="002F7697"/>
    <w:rsid w:val="00301707"/>
    <w:rsid w:val="00305B07"/>
    <w:rsid w:val="00310503"/>
    <w:rsid w:val="003115AB"/>
    <w:rsid w:val="00311B70"/>
    <w:rsid w:val="00311CFC"/>
    <w:rsid w:val="003121BC"/>
    <w:rsid w:val="0031536F"/>
    <w:rsid w:val="003168F8"/>
    <w:rsid w:val="00317245"/>
    <w:rsid w:val="00317CD3"/>
    <w:rsid w:val="003200EE"/>
    <w:rsid w:val="00320E58"/>
    <w:rsid w:val="003225EB"/>
    <w:rsid w:val="00324A80"/>
    <w:rsid w:val="003270A6"/>
    <w:rsid w:val="003276CA"/>
    <w:rsid w:val="00331B2B"/>
    <w:rsid w:val="00334B4A"/>
    <w:rsid w:val="00340C9B"/>
    <w:rsid w:val="003412AE"/>
    <w:rsid w:val="00341630"/>
    <w:rsid w:val="003416A9"/>
    <w:rsid w:val="00341998"/>
    <w:rsid w:val="003432E0"/>
    <w:rsid w:val="003459FD"/>
    <w:rsid w:val="00346689"/>
    <w:rsid w:val="003502ED"/>
    <w:rsid w:val="00350357"/>
    <w:rsid w:val="00350BC3"/>
    <w:rsid w:val="00351A19"/>
    <w:rsid w:val="00352634"/>
    <w:rsid w:val="00353DAA"/>
    <w:rsid w:val="00353DF2"/>
    <w:rsid w:val="00355874"/>
    <w:rsid w:val="00356289"/>
    <w:rsid w:val="003618C9"/>
    <w:rsid w:val="0036207C"/>
    <w:rsid w:val="003633FB"/>
    <w:rsid w:val="0036522E"/>
    <w:rsid w:val="00372FD1"/>
    <w:rsid w:val="0037310C"/>
    <w:rsid w:val="0037327A"/>
    <w:rsid w:val="0037352D"/>
    <w:rsid w:val="003740A0"/>
    <w:rsid w:val="00375EE1"/>
    <w:rsid w:val="003773B1"/>
    <w:rsid w:val="00380FD8"/>
    <w:rsid w:val="00382488"/>
    <w:rsid w:val="0038293D"/>
    <w:rsid w:val="0038303E"/>
    <w:rsid w:val="003832DD"/>
    <w:rsid w:val="00384130"/>
    <w:rsid w:val="00386902"/>
    <w:rsid w:val="00390A78"/>
    <w:rsid w:val="00390CA2"/>
    <w:rsid w:val="00391BA5"/>
    <w:rsid w:val="003928E0"/>
    <w:rsid w:val="0039336D"/>
    <w:rsid w:val="00395969"/>
    <w:rsid w:val="00397DE6"/>
    <w:rsid w:val="003A022B"/>
    <w:rsid w:val="003A0748"/>
    <w:rsid w:val="003A1718"/>
    <w:rsid w:val="003A5274"/>
    <w:rsid w:val="003A6F9B"/>
    <w:rsid w:val="003B0678"/>
    <w:rsid w:val="003B34AA"/>
    <w:rsid w:val="003B34EB"/>
    <w:rsid w:val="003B52E3"/>
    <w:rsid w:val="003B71F9"/>
    <w:rsid w:val="003C1142"/>
    <w:rsid w:val="003C1F36"/>
    <w:rsid w:val="003C1F8F"/>
    <w:rsid w:val="003C2048"/>
    <w:rsid w:val="003C45E6"/>
    <w:rsid w:val="003C5941"/>
    <w:rsid w:val="003D1E39"/>
    <w:rsid w:val="003D2203"/>
    <w:rsid w:val="003D6D4C"/>
    <w:rsid w:val="003E13AA"/>
    <w:rsid w:val="003E21A8"/>
    <w:rsid w:val="003E45C8"/>
    <w:rsid w:val="003E4813"/>
    <w:rsid w:val="003E51B2"/>
    <w:rsid w:val="003F1774"/>
    <w:rsid w:val="003F57A0"/>
    <w:rsid w:val="003F7320"/>
    <w:rsid w:val="003F7533"/>
    <w:rsid w:val="00400357"/>
    <w:rsid w:val="0040072B"/>
    <w:rsid w:val="00400797"/>
    <w:rsid w:val="00401FDA"/>
    <w:rsid w:val="0040293E"/>
    <w:rsid w:val="00404117"/>
    <w:rsid w:val="00406760"/>
    <w:rsid w:val="004079EC"/>
    <w:rsid w:val="00413F55"/>
    <w:rsid w:val="004147DE"/>
    <w:rsid w:val="00415A0D"/>
    <w:rsid w:val="0041605F"/>
    <w:rsid w:val="0041618A"/>
    <w:rsid w:val="00417D67"/>
    <w:rsid w:val="00421D1C"/>
    <w:rsid w:val="00422C69"/>
    <w:rsid w:val="00424720"/>
    <w:rsid w:val="00425469"/>
    <w:rsid w:val="004258E6"/>
    <w:rsid w:val="00426072"/>
    <w:rsid w:val="0042660B"/>
    <w:rsid w:val="004321FA"/>
    <w:rsid w:val="00435043"/>
    <w:rsid w:val="00435903"/>
    <w:rsid w:val="00436A6D"/>
    <w:rsid w:val="00444F14"/>
    <w:rsid w:val="00445481"/>
    <w:rsid w:val="0044565A"/>
    <w:rsid w:val="00445CE8"/>
    <w:rsid w:val="00446376"/>
    <w:rsid w:val="00446CB6"/>
    <w:rsid w:val="004470FB"/>
    <w:rsid w:val="0045190C"/>
    <w:rsid w:val="0045516E"/>
    <w:rsid w:val="004569FC"/>
    <w:rsid w:val="004603D9"/>
    <w:rsid w:val="00460D09"/>
    <w:rsid w:val="00461F5A"/>
    <w:rsid w:val="00471279"/>
    <w:rsid w:val="0047458A"/>
    <w:rsid w:val="004745C1"/>
    <w:rsid w:val="00477E26"/>
    <w:rsid w:val="0048074B"/>
    <w:rsid w:val="0048191A"/>
    <w:rsid w:val="00483DE1"/>
    <w:rsid w:val="00485267"/>
    <w:rsid w:val="004864DA"/>
    <w:rsid w:val="00490844"/>
    <w:rsid w:val="00492938"/>
    <w:rsid w:val="004939F7"/>
    <w:rsid w:val="0049488F"/>
    <w:rsid w:val="00494C9D"/>
    <w:rsid w:val="004960A4"/>
    <w:rsid w:val="004963B5"/>
    <w:rsid w:val="004A1EFD"/>
    <w:rsid w:val="004A221A"/>
    <w:rsid w:val="004A2BEC"/>
    <w:rsid w:val="004A2F1E"/>
    <w:rsid w:val="004A3D63"/>
    <w:rsid w:val="004A5657"/>
    <w:rsid w:val="004A7615"/>
    <w:rsid w:val="004B01D9"/>
    <w:rsid w:val="004B12F4"/>
    <w:rsid w:val="004B204D"/>
    <w:rsid w:val="004B5E05"/>
    <w:rsid w:val="004C00A1"/>
    <w:rsid w:val="004C7DE1"/>
    <w:rsid w:val="004D1A76"/>
    <w:rsid w:val="004D255A"/>
    <w:rsid w:val="004D279B"/>
    <w:rsid w:val="004D2E18"/>
    <w:rsid w:val="004D3A17"/>
    <w:rsid w:val="004D5075"/>
    <w:rsid w:val="004D7BC9"/>
    <w:rsid w:val="004E1CD1"/>
    <w:rsid w:val="004E2226"/>
    <w:rsid w:val="004F12B3"/>
    <w:rsid w:val="004F36D0"/>
    <w:rsid w:val="004F5CEC"/>
    <w:rsid w:val="004F60FB"/>
    <w:rsid w:val="0050266D"/>
    <w:rsid w:val="00502F9C"/>
    <w:rsid w:val="00506828"/>
    <w:rsid w:val="00506F24"/>
    <w:rsid w:val="00506F27"/>
    <w:rsid w:val="005108A7"/>
    <w:rsid w:val="00514F69"/>
    <w:rsid w:val="005158BC"/>
    <w:rsid w:val="00520AEF"/>
    <w:rsid w:val="00521A83"/>
    <w:rsid w:val="00521EE7"/>
    <w:rsid w:val="00524B50"/>
    <w:rsid w:val="00526F08"/>
    <w:rsid w:val="00527B42"/>
    <w:rsid w:val="00530319"/>
    <w:rsid w:val="005309B9"/>
    <w:rsid w:val="0053142D"/>
    <w:rsid w:val="005339E0"/>
    <w:rsid w:val="00533F91"/>
    <w:rsid w:val="005349B7"/>
    <w:rsid w:val="00536273"/>
    <w:rsid w:val="00544106"/>
    <w:rsid w:val="0054440B"/>
    <w:rsid w:val="0054451B"/>
    <w:rsid w:val="00544668"/>
    <w:rsid w:val="005448DA"/>
    <w:rsid w:val="00545138"/>
    <w:rsid w:val="005468FB"/>
    <w:rsid w:val="005500B3"/>
    <w:rsid w:val="00550240"/>
    <w:rsid w:val="0055093F"/>
    <w:rsid w:val="005525CC"/>
    <w:rsid w:val="00554BEA"/>
    <w:rsid w:val="00556D2C"/>
    <w:rsid w:val="00557A61"/>
    <w:rsid w:val="00562131"/>
    <w:rsid w:val="005640CE"/>
    <w:rsid w:val="00567432"/>
    <w:rsid w:val="00570D2C"/>
    <w:rsid w:val="005711C3"/>
    <w:rsid w:val="005739E8"/>
    <w:rsid w:val="005774B5"/>
    <w:rsid w:val="0058033A"/>
    <w:rsid w:val="005808EB"/>
    <w:rsid w:val="005831C4"/>
    <w:rsid w:val="005846EF"/>
    <w:rsid w:val="00584C6B"/>
    <w:rsid w:val="00587CEF"/>
    <w:rsid w:val="0059048F"/>
    <w:rsid w:val="00590D32"/>
    <w:rsid w:val="00591809"/>
    <w:rsid w:val="00592D77"/>
    <w:rsid w:val="00593004"/>
    <w:rsid w:val="005A13D8"/>
    <w:rsid w:val="005A1D24"/>
    <w:rsid w:val="005A1EEB"/>
    <w:rsid w:val="005A3757"/>
    <w:rsid w:val="005A3CEE"/>
    <w:rsid w:val="005A646C"/>
    <w:rsid w:val="005A6885"/>
    <w:rsid w:val="005A782D"/>
    <w:rsid w:val="005B09D7"/>
    <w:rsid w:val="005B4DB9"/>
    <w:rsid w:val="005B6040"/>
    <w:rsid w:val="005C0901"/>
    <w:rsid w:val="005C0944"/>
    <w:rsid w:val="005C156C"/>
    <w:rsid w:val="005C79C2"/>
    <w:rsid w:val="005D0F25"/>
    <w:rsid w:val="005D4B03"/>
    <w:rsid w:val="005D649F"/>
    <w:rsid w:val="005D66F9"/>
    <w:rsid w:val="005D6BB2"/>
    <w:rsid w:val="005D7A63"/>
    <w:rsid w:val="005E01DE"/>
    <w:rsid w:val="005E4F77"/>
    <w:rsid w:val="005E5ABA"/>
    <w:rsid w:val="005F0034"/>
    <w:rsid w:val="005F092F"/>
    <w:rsid w:val="005F0DA5"/>
    <w:rsid w:val="005F101C"/>
    <w:rsid w:val="005F3DED"/>
    <w:rsid w:val="005F41BE"/>
    <w:rsid w:val="005F51CF"/>
    <w:rsid w:val="005F7DD3"/>
    <w:rsid w:val="006005A8"/>
    <w:rsid w:val="00600B18"/>
    <w:rsid w:val="00600FD9"/>
    <w:rsid w:val="00601150"/>
    <w:rsid w:val="006019E1"/>
    <w:rsid w:val="00603FBA"/>
    <w:rsid w:val="0060463C"/>
    <w:rsid w:val="00604C82"/>
    <w:rsid w:val="00604F72"/>
    <w:rsid w:val="00606013"/>
    <w:rsid w:val="00611703"/>
    <w:rsid w:val="00611F4B"/>
    <w:rsid w:val="00612AD2"/>
    <w:rsid w:val="00613AE6"/>
    <w:rsid w:val="00613F03"/>
    <w:rsid w:val="006142BF"/>
    <w:rsid w:val="00623AF8"/>
    <w:rsid w:val="0062648B"/>
    <w:rsid w:val="00632EB2"/>
    <w:rsid w:val="00634370"/>
    <w:rsid w:val="0063467D"/>
    <w:rsid w:val="0063570D"/>
    <w:rsid w:val="00637436"/>
    <w:rsid w:val="006410ED"/>
    <w:rsid w:val="00641FB2"/>
    <w:rsid w:val="00642312"/>
    <w:rsid w:val="00642985"/>
    <w:rsid w:val="006438FC"/>
    <w:rsid w:val="006453E2"/>
    <w:rsid w:val="006577B3"/>
    <w:rsid w:val="00657F59"/>
    <w:rsid w:val="006624C3"/>
    <w:rsid w:val="00664262"/>
    <w:rsid w:val="00664693"/>
    <w:rsid w:val="006647E7"/>
    <w:rsid w:val="00670A98"/>
    <w:rsid w:val="00673FB8"/>
    <w:rsid w:val="00674980"/>
    <w:rsid w:val="00675942"/>
    <w:rsid w:val="00680A0A"/>
    <w:rsid w:val="006837DE"/>
    <w:rsid w:val="00684693"/>
    <w:rsid w:val="00684F59"/>
    <w:rsid w:val="00691554"/>
    <w:rsid w:val="00691CB3"/>
    <w:rsid w:val="00691EDB"/>
    <w:rsid w:val="00692EF6"/>
    <w:rsid w:val="00693602"/>
    <w:rsid w:val="00696888"/>
    <w:rsid w:val="006A469D"/>
    <w:rsid w:val="006A7074"/>
    <w:rsid w:val="006B3584"/>
    <w:rsid w:val="006B3CAF"/>
    <w:rsid w:val="006B46F4"/>
    <w:rsid w:val="006B71FE"/>
    <w:rsid w:val="006C1B66"/>
    <w:rsid w:val="006C5DA9"/>
    <w:rsid w:val="006C779D"/>
    <w:rsid w:val="006D07E1"/>
    <w:rsid w:val="006D0A88"/>
    <w:rsid w:val="006D0DF4"/>
    <w:rsid w:val="006D3629"/>
    <w:rsid w:val="006D4F22"/>
    <w:rsid w:val="006D711A"/>
    <w:rsid w:val="006E03D4"/>
    <w:rsid w:val="006E175A"/>
    <w:rsid w:val="006E2205"/>
    <w:rsid w:val="006E3DBD"/>
    <w:rsid w:val="006E7DCB"/>
    <w:rsid w:val="006F05ED"/>
    <w:rsid w:val="006F4624"/>
    <w:rsid w:val="006F46EA"/>
    <w:rsid w:val="006F645A"/>
    <w:rsid w:val="006F6721"/>
    <w:rsid w:val="006F6DA4"/>
    <w:rsid w:val="006F6E48"/>
    <w:rsid w:val="007019E7"/>
    <w:rsid w:val="007020FE"/>
    <w:rsid w:val="00705599"/>
    <w:rsid w:val="00705D27"/>
    <w:rsid w:val="00707125"/>
    <w:rsid w:val="007132AA"/>
    <w:rsid w:val="00715750"/>
    <w:rsid w:val="00715CD9"/>
    <w:rsid w:val="00716377"/>
    <w:rsid w:val="00717EC9"/>
    <w:rsid w:val="0072121A"/>
    <w:rsid w:val="00724953"/>
    <w:rsid w:val="007272AE"/>
    <w:rsid w:val="0073062D"/>
    <w:rsid w:val="00731F3C"/>
    <w:rsid w:val="00732E60"/>
    <w:rsid w:val="00733E31"/>
    <w:rsid w:val="00736C02"/>
    <w:rsid w:val="00737505"/>
    <w:rsid w:val="0073754E"/>
    <w:rsid w:val="0073794C"/>
    <w:rsid w:val="007407A0"/>
    <w:rsid w:val="007440A6"/>
    <w:rsid w:val="007465CC"/>
    <w:rsid w:val="007465EE"/>
    <w:rsid w:val="0074660C"/>
    <w:rsid w:val="00746D23"/>
    <w:rsid w:val="00752956"/>
    <w:rsid w:val="007530D0"/>
    <w:rsid w:val="00755970"/>
    <w:rsid w:val="00757642"/>
    <w:rsid w:val="00757AC7"/>
    <w:rsid w:val="00762663"/>
    <w:rsid w:val="00762AB9"/>
    <w:rsid w:val="00762E3A"/>
    <w:rsid w:val="007701DD"/>
    <w:rsid w:val="00771E60"/>
    <w:rsid w:val="007723A6"/>
    <w:rsid w:val="007725C8"/>
    <w:rsid w:val="007730CC"/>
    <w:rsid w:val="0077581C"/>
    <w:rsid w:val="00776C1D"/>
    <w:rsid w:val="007812E1"/>
    <w:rsid w:val="00783D2C"/>
    <w:rsid w:val="00784FAE"/>
    <w:rsid w:val="00785CF4"/>
    <w:rsid w:val="007861EB"/>
    <w:rsid w:val="00790024"/>
    <w:rsid w:val="00790217"/>
    <w:rsid w:val="00791CF2"/>
    <w:rsid w:val="00793039"/>
    <w:rsid w:val="0079318A"/>
    <w:rsid w:val="00794FD2"/>
    <w:rsid w:val="00796E5C"/>
    <w:rsid w:val="007A0CA8"/>
    <w:rsid w:val="007A5AFA"/>
    <w:rsid w:val="007A614C"/>
    <w:rsid w:val="007A7793"/>
    <w:rsid w:val="007B0B67"/>
    <w:rsid w:val="007B2F59"/>
    <w:rsid w:val="007B3A07"/>
    <w:rsid w:val="007B3ECE"/>
    <w:rsid w:val="007B46C0"/>
    <w:rsid w:val="007B7AAE"/>
    <w:rsid w:val="007C02B1"/>
    <w:rsid w:val="007C340B"/>
    <w:rsid w:val="007D0390"/>
    <w:rsid w:val="007D07FD"/>
    <w:rsid w:val="007D0B17"/>
    <w:rsid w:val="007D12D0"/>
    <w:rsid w:val="007D2269"/>
    <w:rsid w:val="007E087A"/>
    <w:rsid w:val="007E0A12"/>
    <w:rsid w:val="007E22F9"/>
    <w:rsid w:val="007E6F4D"/>
    <w:rsid w:val="007E6F59"/>
    <w:rsid w:val="007E75C4"/>
    <w:rsid w:val="007F32E2"/>
    <w:rsid w:val="007F4EC8"/>
    <w:rsid w:val="007F5344"/>
    <w:rsid w:val="007F5586"/>
    <w:rsid w:val="007F63AD"/>
    <w:rsid w:val="007F6801"/>
    <w:rsid w:val="00802941"/>
    <w:rsid w:val="00804A4F"/>
    <w:rsid w:val="00805CCC"/>
    <w:rsid w:val="00805E60"/>
    <w:rsid w:val="008066E6"/>
    <w:rsid w:val="008072E9"/>
    <w:rsid w:val="00810441"/>
    <w:rsid w:val="00812010"/>
    <w:rsid w:val="008135C0"/>
    <w:rsid w:val="00813690"/>
    <w:rsid w:val="00813DF9"/>
    <w:rsid w:val="0081606B"/>
    <w:rsid w:val="00816B39"/>
    <w:rsid w:val="0081726C"/>
    <w:rsid w:val="008209B3"/>
    <w:rsid w:val="00821CED"/>
    <w:rsid w:val="00821F21"/>
    <w:rsid w:val="00822F55"/>
    <w:rsid w:val="00823227"/>
    <w:rsid w:val="00824054"/>
    <w:rsid w:val="008268BD"/>
    <w:rsid w:val="00827D90"/>
    <w:rsid w:val="00832F34"/>
    <w:rsid w:val="00836FD9"/>
    <w:rsid w:val="00841D51"/>
    <w:rsid w:val="008426A1"/>
    <w:rsid w:val="00843CE5"/>
    <w:rsid w:val="00846538"/>
    <w:rsid w:val="00846C7E"/>
    <w:rsid w:val="00846DB8"/>
    <w:rsid w:val="00852562"/>
    <w:rsid w:val="00853EF8"/>
    <w:rsid w:val="0085542B"/>
    <w:rsid w:val="00855527"/>
    <w:rsid w:val="00855DEF"/>
    <w:rsid w:val="0085649F"/>
    <w:rsid w:val="00860840"/>
    <w:rsid w:val="008618F7"/>
    <w:rsid w:val="0086364C"/>
    <w:rsid w:val="00863BC6"/>
    <w:rsid w:val="00864F45"/>
    <w:rsid w:val="008674AF"/>
    <w:rsid w:val="008676C2"/>
    <w:rsid w:val="00870572"/>
    <w:rsid w:val="00874C3D"/>
    <w:rsid w:val="0088008B"/>
    <w:rsid w:val="00883252"/>
    <w:rsid w:val="00886AA2"/>
    <w:rsid w:val="0089655E"/>
    <w:rsid w:val="008967CB"/>
    <w:rsid w:val="00896939"/>
    <w:rsid w:val="00896C6A"/>
    <w:rsid w:val="008A0F63"/>
    <w:rsid w:val="008A17CA"/>
    <w:rsid w:val="008A2575"/>
    <w:rsid w:val="008A545C"/>
    <w:rsid w:val="008A58D3"/>
    <w:rsid w:val="008A5B73"/>
    <w:rsid w:val="008A5C80"/>
    <w:rsid w:val="008A655B"/>
    <w:rsid w:val="008A66DD"/>
    <w:rsid w:val="008A7AD5"/>
    <w:rsid w:val="008B2328"/>
    <w:rsid w:val="008B51E5"/>
    <w:rsid w:val="008C10FB"/>
    <w:rsid w:val="008C1C03"/>
    <w:rsid w:val="008C36EF"/>
    <w:rsid w:val="008C37E2"/>
    <w:rsid w:val="008C43B3"/>
    <w:rsid w:val="008C51E5"/>
    <w:rsid w:val="008C5DF5"/>
    <w:rsid w:val="008C6A2B"/>
    <w:rsid w:val="008D0EF0"/>
    <w:rsid w:val="008D180F"/>
    <w:rsid w:val="008E1FDC"/>
    <w:rsid w:val="008E4D14"/>
    <w:rsid w:val="008E5401"/>
    <w:rsid w:val="008E5789"/>
    <w:rsid w:val="008E5B99"/>
    <w:rsid w:val="008F1112"/>
    <w:rsid w:val="008F18D7"/>
    <w:rsid w:val="008F18F1"/>
    <w:rsid w:val="008F22D3"/>
    <w:rsid w:val="008F3D7D"/>
    <w:rsid w:val="008F63CC"/>
    <w:rsid w:val="00900A29"/>
    <w:rsid w:val="00901AA0"/>
    <w:rsid w:val="009024F5"/>
    <w:rsid w:val="009039EF"/>
    <w:rsid w:val="00903E0C"/>
    <w:rsid w:val="00904794"/>
    <w:rsid w:val="009056A5"/>
    <w:rsid w:val="00907EC8"/>
    <w:rsid w:val="009127A8"/>
    <w:rsid w:val="00913CBC"/>
    <w:rsid w:val="00926811"/>
    <w:rsid w:val="00926930"/>
    <w:rsid w:val="0092747C"/>
    <w:rsid w:val="009329C9"/>
    <w:rsid w:val="009338CE"/>
    <w:rsid w:val="009408A7"/>
    <w:rsid w:val="00940F0E"/>
    <w:rsid w:val="00941319"/>
    <w:rsid w:val="00942C13"/>
    <w:rsid w:val="00942D13"/>
    <w:rsid w:val="0094422B"/>
    <w:rsid w:val="00945EDA"/>
    <w:rsid w:val="00952BC9"/>
    <w:rsid w:val="0095460F"/>
    <w:rsid w:val="00954F83"/>
    <w:rsid w:val="0095537B"/>
    <w:rsid w:val="0095597F"/>
    <w:rsid w:val="009618A0"/>
    <w:rsid w:val="00961C27"/>
    <w:rsid w:val="00966742"/>
    <w:rsid w:val="00966A73"/>
    <w:rsid w:val="00967A6E"/>
    <w:rsid w:val="009712C4"/>
    <w:rsid w:val="0097232B"/>
    <w:rsid w:val="00972E9D"/>
    <w:rsid w:val="00973224"/>
    <w:rsid w:val="009742A9"/>
    <w:rsid w:val="009761F3"/>
    <w:rsid w:val="00980B22"/>
    <w:rsid w:val="009811B4"/>
    <w:rsid w:val="009827F3"/>
    <w:rsid w:val="00983848"/>
    <w:rsid w:val="00983CCB"/>
    <w:rsid w:val="00984B0E"/>
    <w:rsid w:val="0098524B"/>
    <w:rsid w:val="009867A9"/>
    <w:rsid w:val="009934B0"/>
    <w:rsid w:val="00995AE2"/>
    <w:rsid w:val="009968F9"/>
    <w:rsid w:val="00996B4C"/>
    <w:rsid w:val="009972FB"/>
    <w:rsid w:val="00997EAB"/>
    <w:rsid w:val="009A0BB0"/>
    <w:rsid w:val="009A13C5"/>
    <w:rsid w:val="009A37F8"/>
    <w:rsid w:val="009A5B45"/>
    <w:rsid w:val="009A707B"/>
    <w:rsid w:val="009A7C3A"/>
    <w:rsid w:val="009A7E60"/>
    <w:rsid w:val="009B00BE"/>
    <w:rsid w:val="009B0AAE"/>
    <w:rsid w:val="009B35E2"/>
    <w:rsid w:val="009B3748"/>
    <w:rsid w:val="009B48B8"/>
    <w:rsid w:val="009B6032"/>
    <w:rsid w:val="009B64F1"/>
    <w:rsid w:val="009B7C67"/>
    <w:rsid w:val="009C2427"/>
    <w:rsid w:val="009C4ACF"/>
    <w:rsid w:val="009C4FAB"/>
    <w:rsid w:val="009C6C03"/>
    <w:rsid w:val="009C7358"/>
    <w:rsid w:val="009D1111"/>
    <w:rsid w:val="009D3024"/>
    <w:rsid w:val="009D3ADC"/>
    <w:rsid w:val="009D63B9"/>
    <w:rsid w:val="009D7E9B"/>
    <w:rsid w:val="009E02AA"/>
    <w:rsid w:val="009E2A2A"/>
    <w:rsid w:val="009E343A"/>
    <w:rsid w:val="009E5CF6"/>
    <w:rsid w:val="009F05BB"/>
    <w:rsid w:val="009F5834"/>
    <w:rsid w:val="009F58A4"/>
    <w:rsid w:val="009F61E8"/>
    <w:rsid w:val="009F7816"/>
    <w:rsid w:val="00A00863"/>
    <w:rsid w:val="00A02F44"/>
    <w:rsid w:val="00A0370F"/>
    <w:rsid w:val="00A0421E"/>
    <w:rsid w:val="00A0502F"/>
    <w:rsid w:val="00A11619"/>
    <w:rsid w:val="00A12007"/>
    <w:rsid w:val="00A13CA8"/>
    <w:rsid w:val="00A159E1"/>
    <w:rsid w:val="00A17022"/>
    <w:rsid w:val="00A1787F"/>
    <w:rsid w:val="00A178E1"/>
    <w:rsid w:val="00A216B0"/>
    <w:rsid w:val="00A22577"/>
    <w:rsid w:val="00A23B41"/>
    <w:rsid w:val="00A2503D"/>
    <w:rsid w:val="00A2658F"/>
    <w:rsid w:val="00A272B0"/>
    <w:rsid w:val="00A3463F"/>
    <w:rsid w:val="00A35CA4"/>
    <w:rsid w:val="00A367E5"/>
    <w:rsid w:val="00A36F76"/>
    <w:rsid w:val="00A40050"/>
    <w:rsid w:val="00A400E0"/>
    <w:rsid w:val="00A45783"/>
    <w:rsid w:val="00A5029E"/>
    <w:rsid w:val="00A5041D"/>
    <w:rsid w:val="00A51198"/>
    <w:rsid w:val="00A5179C"/>
    <w:rsid w:val="00A532F8"/>
    <w:rsid w:val="00A53567"/>
    <w:rsid w:val="00A54257"/>
    <w:rsid w:val="00A55F1B"/>
    <w:rsid w:val="00A56365"/>
    <w:rsid w:val="00A61403"/>
    <w:rsid w:val="00A61E78"/>
    <w:rsid w:val="00A634BB"/>
    <w:rsid w:val="00A66CF6"/>
    <w:rsid w:val="00A706AA"/>
    <w:rsid w:val="00A71E92"/>
    <w:rsid w:val="00A721EC"/>
    <w:rsid w:val="00A73696"/>
    <w:rsid w:val="00A7385C"/>
    <w:rsid w:val="00A73957"/>
    <w:rsid w:val="00A74FD7"/>
    <w:rsid w:val="00A774B4"/>
    <w:rsid w:val="00A77D8E"/>
    <w:rsid w:val="00A81F42"/>
    <w:rsid w:val="00A83D31"/>
    <w:rsid w:val="00A85157"/>
    <w:rsid w:val="00A85406"/>
    <w:rsid w:val="00A86680"/>
    <w:rsid w:val="00A9407E"/>
    <w:rsid w:val="00A96BD7"/>
    <w:rsid w:val="00AA1724"/>
    <w:rsid w:val="00AA1A33"/>
    <w:rsid w:val="00AA1D23"/>
    <w:rsid w:val="00AA1F07"/>
    <w:rsid w:val="00AB13CE"/>
    <w:rsid w:val="00AB2C47"/>
    <w:rsid w:val="00AB2FA1"/>
    <w:rsid w:val="00AB51AE"/>
    <w:rsid w:val="00AB522C"/>
    <w:rsid w:val="00AC02F7"/>
    <w:rsid w:val="00AC0C0E"/>
    <w:rsid w:val="00AC0F4B"/>
    <w:rsid w:val="00AC17E1"/>
    <w:rsid w:val="00AC188C"/>
    <w:rsid w:val="00AC387A"/>
    <w:rsid w:val="00AC3932"/>
    <w:rsid w:val="00AC3D6A"/>
    <w:rsid w:val="00AC4AEF"/>
    <w:rsid w:val="00AC5076"/>
    <w:rsid w:val="00AD2108"/>
    <w:rsid w:val="00AD3214"/>
    <w:rsid w:val="00AD391D"/>
    <w:rsid w:val="00AD5B7A"/>
    <w:rsid w:val="00AD6F71"/>
    <w:rsid w:val="00AD6FB8"/>
    <w:rsid w:val="00AD7527"/>
    <w:rsid w:val="00AD7A21"/>
    <w:rsid w:val="00AE0758"/>
    <w:rsid w:val="00AE10C7"/>
    <w:rsid w:val="00AE18F9"/>
    <w:rsid w:val="00AE21DC"/>
    <w:rsid w:val="00AE3833"/>
    <w:rsid w:val="00AE44D1"/>
    <w:rsid w:val="00AE4CB9"/>
    <w:rsid w:val="00AE527D"/>
    <w:rsid w:val="00AE6C3D"/>
    <w:rsid w:val="00AF1AB7"/>
    <w:rsid w:val="00AF3998"/>
    <w:rsid w:val="00AF3ECC"/>
    <w:rsid w:val="00AF674F"/>
    <w:rsid w:val="00AF6834"/>
    <w:rsid w:val="00B01264"/>
    <w:rsid w:val="00B01609"/>
    <w:rsid w:val="00B01E7D"/>
    <w:rsid w:val="00B04CA2"/>
    <w:rsid w:val="00B13328"/>
    <w:rsid w:val="00B13993"/>
    <w:rsid w:val="00B16323"/>
    <w:rsid w:val="00B17E00"/>
    <w:rsid w:val="00B20196"/>
    <w:rsid w:val="00B23FCD"/>
    <w:rsid w:val="00B24A4A"/>
    <w:rsid w:val="00B26ABC"/>
    <w:rsid w:val="00B30A0C"/>
    <w:rsid w:val="00B31EB0"/>
    <w:rsid w:val="00B32E41"/>
    <w:rsid w:val="00B33A48"/>
    <w:rsid w:val="00B36EEF"/>
    <w:rsid w:val="00B373C6"/>
    <w:rsid w:val="00B37F5A"/>
    <w:rsid w:val="00B40EFE"/>
    <w:rsid w:val="00B42471"/>
    <w:rsid w:val="00B42594"/>
    <w:rsid w:val="00B42CE2"/>
    <w:rsid w:val="00B435E7"/>
    <w:rsid w:val="00B4453A"/>
    <w:rsid w:val="00B44B05"/>
    <w:rsid w:val="00B450F2"/>
    <w:rsid w:val="00B45EBE"/>
    <w:rsid w:val="00B47DAA"/>
    <w:rsid w:val="00B55869"/>
    <w:rsid w:val="00B55C21"/>
    <w:rsid w:val="00B63334"/>
    <w:rsid w:val="00B64364"/>
    <w:rsid w:val="00B6457B"/>
    <w:rsid w:val="00B64D85"/>
    <w:rsid w:val="00B66429"/>
    <w:rsid w:val="00B6681B"/>
    <w:rsid w:val="00B7101D"/>
    <w:rsid w:val="00B73FB2"/>
    <w:rsid w:val="00B76A9F"/>
    <w:rsid w:val="00B77156"/>
    <w:rsid w:val="00B80593"/>
    <w:rsid w:val="00B806D2"/>
    <w:rsid w:val="00B81252"/>
    <w:rsid w:val="00B81741"/>
    <w:rsid w:val="00B82CD7"/>
    <w:rsid w:val="00B83546"/>
    <w:rsid w:val="00B847ED"/>
    <w:rsid w:val="00B86C77"/>
    <w:rsid w:val="00B872EC"/>
    <w:rsid w:val="00B90CF8"/>
    <w:rsid w:val="00B90FFF"/>
    <w:rsid w:val="00B91156"/>
    <w:rsid w:val="00B971E7"/>
    <w:rsid w:val="00BA0614"/>
    <w:rsid w:val="00BA10E9"/>
    <w:rsid w:val="00BA1D03"/>
    <w:rsid w:val="00BA2996"/>
    <w:rsid w:val="00BA378D"/>
    <w:rsid w:val="00BA461F"/>
    <w:rsid w:val="00BA487F"/>
    <w:rsid w:val="00BA6BAA"/>
    <w:rsid w:val="00BA6F10"/>
    <w:rsid w:val="00BA7FCE"/>
    <w:rsid w:val="00BB0531"/>
    <w:rsid w:val="00BB1840"/>
    <w:rsid w:val="00BB1EDB"/>
    <w:rsid w:val="00BB5486"/>
    <w:rsid w:val="00BB7374"/>
    <w:rsid w:val="00BB7834"/>
    <w:rsid w:val="00BC2905"/>
    <w:rsid w:val="00BC3B0C"/>
    <w:rsid w:val="00BC594C"/>
    <w:rsid w:val="00BD2B54"/>
    <w:rsid w:val="00BD2F61"/>
    <w:rsid w:val="00BD316C"/>
    <w:rsid w:val="00BD43C3"/>
    <w:rsid w:val="00BD4643"/>
    <w:rsid w:val="00BD6A0E"/>
    <w:rsid w:val="00BE0F1D"/>
    <w:rsid w:val="00BE21A0"/>
    <w:rsid w:val="00BE2802"/>
    <w:rsid w:val="00BE43A2"/>
    <w:rsid w:val="00BF5664"/>
    <w:rsid w:val="00BF72FC"/>
    <w:rsid w:val="00C0172D"/>
    <w:rsid w:val="00C035B0"/>
    <w:rsid w:val="00C05BEC"/>
    <w:rsid w:val="00C06879"/>
    <w:rsid w:val="00C07161"/>
    <w:rsid w:val="00C07CEA"/>
    <w:rsid w:val="00C10B0C"/>
    <w:rsid w:val="00C10C55"/>
    <w:rsid w:val="00C11B6A"/>
    <w:rsid w:val="00C13BB1"/>
    <w:rsid w:val="00C14F61"/>
    <w:rsid w:val="00C155CC"/>
    <w:rsid w:val="00C16F21"/>
    <w:rsid w:val="00C20A13"/>
    <w:rsid w:val="00C21824"/>
    <w:rsid w:val="00C21B5B"/>
    <w:rsid w:val="00C25614"/>
    <w:rsid w:val="00C306CB"/>
    <w:rsid w:val="00C30FF5"/>
    <w:rsid w:val="00C311CA"/>
    <w:rsid w:val="00C31296"/>
    <w:rsid w:val="00C31B8C"/>
    <w:rsid w:val="00C31DF6"/>
    <w:rsid w:val="00C35CB5"/>
    <w:rsid w:val="00C35D88"/>
    <w:rsid w:val="00C409E4"/>
    <w:rsid w:val="00C40E55"/>
    <w:rsid w:val="00C41C05"/>
    <w:rsid w:val="00C43F0E"/>
    <w:rsid w:val="00C44622"/>
    <w:rsid w:val="00C44EB5"/>
    <w:rsid w:val="00C450BC"/>
    <w:rsid w:val="00C452CF"/>
    <w:rsid w:val="00C45FEA"/>
    <w:rsid w:val="00C47D3A"/>
    <w:rsid w:val="00C510CE"/>
    <w:rsid w:val="00C53712"/>
    <w:rsid w:val="00C57C97"/>
    <w:rsid w:val="00C608F9"/>
    <w:rsid w:val="00C61238"/>
    <w:rsid w:val="00C61F6B"/>
    <w:rsid w:val="00C62CC2"/>
    <w:rsid w:val="00C62EC3"/>
    <w:rsid w:val="00C646EF"/>
    <w:rsid w:val="00C6492F"/>
    <w:rsid w:val="00C64AA7"/>
    <w:rsid w:val="00C65007"/>
    <w:rsid w:val="00C65D4E"/>
    <w:rsid w:val="00C671A9"/>
    <w:rsid w:val="00C70593"/>
    <w:rsid w:val="00C70640"/>
    <w:rsid w:val="00C70C5C"/>
    <w:rsid w:val="00C74FA2"/>
    <w:rsid w:val="00C807C6"/>
    <w:rsid w:val="00C82AFE"/>
    <w:rsid w:val="00C8300C"/>
    <w:rsid w:val="00C83324"/>
    <w:rsid w:val="00C83ECE"/>
    <w:rsid w:val="00C84AEF"/>
    <w:rsid w:val="00C867D0"/>
    <w:rsid w:val="00C86BAA"/>
    <w:rsid w:val="00C952F2"/>
    <w:rsid w:val="00C95537"/>
    <w:rsid w:val="00CA19EE"/>
    <w:rsid w:val="00CA22BB"/>
    <w:rsid w:val="00CA306E"/>
    <w:rsid w:val="00CA55E9"/>
    <w:rsid w:val="00CA5A33"/>
    <w:rsid w:val="00CA7C39"/>
    <w:rsid w:val="00CA7EAF"/>
    <w:rsid w:val="00CB228C"/>
    <w:rsid w:val="00CB2BC8"/>
    <w:rsid w:val="00CB5256"/>
    <w:rsid w:val="00CB69BB"/>
    <w:rsid w:val="00CB7218"/>
    <w:rsid w:val="00CC0703"/>
    <w:rsid w:val="00CC074B"/>
    <w:rsid w:val="00CC5B47"/>
    <w:rsid w:val="00CC62D4"/>
    <w:rsid w:val="00CC694F"/>
    <w:rsid w:val="00CC7CDD"/>
    <w:rsid w:val="00CD1F58"/>
    <w:rsid w:val="00CD441B"/>
    <w:rsid w:val="00CD6602"/>
    <w:rsid w:val="00CD7EE6"/>
    <w:rsid w:val="00CE15A9"/>
    <w:rsid w:val="00CE3FB2"/>
    <w:rsid w:val="00CE6591"/>
    <w:rsid w:val="00CE7695"/>
    <w:rsid w:val="00CF15E0"/>
    <w:rsid w:val="00CF17E9"/>
    <w:rsid w:val="00CF36D1"/>
    <w:rsid w:val="00CF5707"/>
    <w:rsid w:val="00CF7AB7"/>
    <w:rsid w:val="00CF7DED"/>
    <w:rsid w:val="00D055AB"/>
    <w:rsid w:val="00D06165"/>
    <w:rsid w:val="00D06E7F"/>
    <w:rsid w:val="00D07208"/>
    <w:rsid w:val="00D106FE"/>
    <w:rsid w:val="00D11303"/>
    <w:rsid w:val="00D12313"/>
    <w:rsid w:val="00D14679"/>
    <w:rsid w:val="00D15C3B"/>
    <w:rsid w:val="00D1678D"/>
    <w:rsid w:val="00D20A31"/>
    <w:rsid w:val="00D24E51"/>
    <w:rsid w:val="00D2522A"/>
    <w:rsid w:val="00D25901"/>
    <w:rsid w:val="00D26611"/>
    <w:rsid w:val="00D3022C"/>
    <w:rsid w:val="00D3052B"/>
    <w:rsid w:val="00D30FCA"/>
    <w:rsid w:val="00D310A4"/>
    <w:rsid w:val="00D40F1C"/>
    <w:rsid w:val="00D44100"/>
    <w:rsid w:val="00D44182"/>
    <w:rsid w:val="00D47F89"/>
    <w:rsid w:val="00D52697"/>
    <w:rsid w:val="00D60488"/>
    <w:rsid w:val="00D624D1"/>
    <w:rsid w:val="00D63BB5"/>
    <w:rsid w:val="00D63C4A"/>
    <w:rsid w:val="00D67A99"/>
    <w:rsid w:val="00D67F58"/>
    <w:rsid w:val="00D7200A"/>
    <w:rsid w:val="00D72353"/>
    <w:rsid w:val="00D73696"/>
    <w:rsid w:val="00D74F71"/>
    <w:rsid w:val="00D76701"/>
    <w:rsid w:val="00D77CE5"/>
    <w:rsid w:val="00D80C95"/>
    <w:rsid w:val="00D8164F"/>
    <w:rsid w:val="00D82E13"/>
    <w:rsid w:val="00D834AF"/>
    <w:rsid w:val="00D84AEB"/>
    <w:rsid w:val="00D900A9"/>
    <w:rsid w:val="00D9130F"/>
    <w:rsid w:val="00D96138"/>
    <w:rsid w:val="00D9703E"/>
    <w:rsid w:val="00D971D4"/>
    <w:rsid w:val="00DA1FEC"/>
    <w:rsid w:val="00DA36D7"/>
    <w:rsid w:val="00DA50F9"/>
    <w:rsid w:val="00DA5C89"/>
    <w:rsid w:val="00DA6E44"/>
    <w:rsid w:val="00DB62B2"/>
    <w:rsid w:val="00DB70AF"/>
    <w:rsid w:val="00DC1A43"/>
    <w:rsid w:val="00DC26FE"/>
    <w:rsid w:val="00DC3295"/>
    <w:rsid w:val="00DC7231"/>
    <w:rsid w:val="00DD0288"/>
    <w:rsid w:val="00DD05EF"/>
    <w:rsid w:val="00DD1A90"/>
    <w:rsid w:val="00DD3511"/>
    <w:rsid w:val="00DD43AD"/>
    <w:rsid w:val="00DD46EC"/>
    <w:rsid w:val="00DD51A3"/>
    <w:rsid w:val="00DD7DB9"/>
    <w:rsid w:val="00DE027F"/>
    <w:rsid w:val="00DE2508"/>
    <w:rsid w:val="00DE2602"/>
    <w:rsid w:val="00DE27DF"/>
    <w:rsid w:val="00DE2C6D"/>
    <w:rsid w:val="00DE30F2"/>
    <w:rsid w:val="00DF0499"/>
    <w:rsid w:val="00DF2FD0"/>
    <w:rsid w:val="00DF2FFD"/>
    <w:rsid w:val="00DF38F9"/>
    <w:rsid w:val="00DF4C63"/>
    <w:rsid w:val="00DF6AD6"/>
    <w:rsid w:val="00DF6EB6"/>
    <w:rsid w:val="00E00548"/>
    <w:rsid w:val="00E02171"/>
    <w:rsid w:val="00E07065"/>
    <w:rsid w:val="00E075DA"/>
    <w:rsid w:val="00E07E07"/>
    <w:rsid w:val="00E10018"/>
    <w:rsid w:val="00E12C25"/>
    <w:rsid w:val="00E14E0A"/>
    <w:rsid w:val="00E178E2"/>
    <w:rsid w:val="00E21766"/>
    <w:rsid w:val="00E21D2C"/>
    <w:rsid w:val="00E223F0"/>
    <w:rsid w:val="00E268F0"/>
    <w:rsid w:val="00E26AFE"/>
    <w:rsid w:val="00E27653"/>
    <w:rsid w:val="00E326EE"/>
    <w:rsid w:val="00E32C27"/>
    <w:rsid w:val="00E34476"/>
    <w:rsid w:val="00E3593F"/>
    <w:rsid w:val="00E372CF"/>
    <w:rsid w:val="00E37A9A"/>
    <w:rsid w:val="00E43254"/>
    <w:rsid w:val="00E445C3"/>
    <w:rsid w:val="00E462FC"/>
    <w:rsid w:val="00E46EAC"/>
    <w:rsid w:val="00E470CB"/>
    <w:rsid w:val="00E47E94"/>
    <w:rsid w:val="00E51AF3"/>
    <w:rsid w:val="00E51D96"/>
    <w:rsid w:val="00E526F4"/>
    <w:rsid w:val="00E5312B"/>
    <w:rsid w:val="00E55290"/>
    <w:rsid w:val="00E5676C"/>
    <w:rsid w:val="00E56F47"/>
    <w:rsid w:val="00E6012C"/>
    <w:rsid w:val="00E62546"/>
    <w:rsid w:val="00E642D7"/>
    <w:rsid w:val="00E65C84"/>
    <w:rsid w:val="00E66EAE"/>
    <w:rsid w:val="00E762E9"/>
    <w:rsid w:val="00E76426"/>
    <w:rsid w:val="00E76FCC"/>
    <w:rsid w:val="00E82811"/>
    <w:rsid w:val="00E83A82"/>
    <w:rsid w:val="00E83CE8"/>
    <w:rsid w:val="00E85400"/>
    <w:rsid w:val="00E86010"/>
    <w:rsid w:val="00E87436"/>
    <w:rsid w:val="00E87798"/>
    <w:rsid w:val="00E91ED6"/>
    <w:rsid w:val="00E95804"/>
    <w:rsid w:val="00E958F7"/>
    <w:rsid w:val="00E9713F"/>
    <w:rsid w:val="00EA08E1"/>
    <w:rsid w:val="00EA138B"/>
    <w:rsid w:val="00EA3BAE"/>
    <w:rsid w:val="00EA3E5B"/>
    <w:rsid w:val="00EA7FD5"/>
    <w:rsid w:val="00EB3F69"/>
    <w:rsid w:val="00EB686D"/>
    <w:rsid w:val="00EB7163"/>
    <w:rsid w:val="00EC4641"/>
    <w:rsid w:val="00EC4734"/>
    <w:rsid w:val="00EC475B"/>
    <w:rsid w:val="00EC584A"/>
    <w:rsid w:val="00EC67BA"/>
    <w:rsid w:val="00EC7489"/>
    <w:rsid w:val="00EC7BA1"/>
    <w:rsid w:val="00ED31B4"/>
    <w:rsid w:val="00ED3CBC"/>
    <w:rsid w:val="00ED3E2E"/>
    <w:rsid w:val="00ED48A5"/>
    <w:rsid w:val="00ED5236"/>
    <w:rsid w:val="00ED6BFF"/>
    <w:rsid w:val="00EE7FB9"/>
    <w:rsid w:val="00EF3203"/>
    <w:rsid w:val="00EF50E0"/>
    <w:rsid w:val="00EF5D9F"/>
    <w:rsid w:val="00EF6508"/>
    <w:rsid w:val="00EF79CB"/>
    <w:rsid w:val="00EF7AD6"/>
    <w:rsid w:val="00F01F82"/>
    <w:rsid w:val="00F026C5"/>
    <w:rsid w:val="00F02994"/>
    <w:rsid w:val="00F0470F"/>
    <w:rsid w:val="00F06A33"/>
    <w:rsid w:val="00F07142"/>
    <w:rsid w:val="00F07500"/>
    <w:rsid w:val="00F11E53"/>
    <w:rsid w:val="00F1220A"/>
    <w:rsid w:val="00F150A8"/>
    <w:rsid w:val="00F15665"/>
    <w:rsid w:val="00F16A56"/>
    <w:rsid w:val="00F2006E"/>
    <w:rsid w:val="00F2011A"/>
    <w:rsid w:val="00F219A9"/>
    <w:rsid w:val="00F23208"/>
    <w:rsid w:val="00F250D4"/>
    <w:rsid w:val="00F2534E"/>
    <w:rsid w:val="00F2694C"/>
    <w:rsid w:val="00F31159"/>
    <w:rsid w:val="00F32960"/>
    <w:rsid w:val="00F33C26"/>
    <w:rsid w:val="00F34251"/>
    <w:rsid w:val="00F377F7"/>
    <w:rsid w:val="00F408AA"/>
    <w:rsid w:val="00F4203B"/>
    <w:rsid w:val="00F47618"/>
    <w:rsid w:val="00F47CEC"/>
    <w:rsid w:val="00F51B00"/>
    <w:rsid w:val="00F555C0"/>
    <w:rsid w:val="00F55788"/>
    <w:rsid w:val="00F5723B"/>
    <w:rsid w:val="00F6261A"/>
    <w:rsid w:val="00F62DB1"/>
    <w:rsid w:val="00F633B9"/>
    <w:rsid w:val="00F63FD2"/>
    <w:rsid w:val="00F63FFA"/>
    <w:rsid w:val="00F6458F"/>
    <w:rsid w:val="00F66433"/>
    <w:rsid w:val="00F6752A"/>
    <w:rsid w:val="00F6763C"/>
    <w:rsid w:val="00F7218B"/>
    <w:rsid w:val="00F74DEA"/>
    <w:rsid w:val="00F75C5A"/>
    <w:rsid w:val="00F776F5"/>
    <w:rsid w:val="00F806C2"/>
    <w:rsid w:val="00F80E0E"/>
    <w:rsid w:val="00F818DC"/>
    <w:rsid w:val="00F84428"/>
    <w:rsid w:val="00F85472"/>
    <w:rsid w:val="00F856FF"/>
    <w:rsid w:val="00F8588D"/>
    <w:rsid w:val="00F860FA"/>
    <w:rsid w:val="00F8762E"/>
    <w:rsid w:val="00F93860"/>
    <w:rsid w:val="00F944D5"/>
    <w:rsid w:val="00F95CEF"/>
    <w:rsid w:val="00FA0E2B"/>
    <w:rsid w:val="00FA1A91"/>
    <w:rsid w:val="00FA30D5"/>
    <w:rsid w:val="00FA318F"/>
    <w:rsid w:val="00FA43EC"/>
    <w:rsid w:val="00FA5A42"/>
    <w:rsid w:val="00FA63D7"/>
    <w:rsid w:val="00FA7007"/>
    <w:rsid w:val="00FA7E36"/>
    <w:rsid w:val="00FB2652"/>
    <w:rsid w:val="00FB27DC"/>
    <w:rsid w:val="00FB46A3"/>
    <w:rsid w:val="00FB6877"/>
    <w:rsid w:val="00FB6E07"/>
    <w:rsid w:val="00FC157C"/>
    <w:rsid w:val="00FC1C3C"/>
    <w:rsid w:val="00FC1EF6"/>
    <w:rsid w:val="00FD0B40"/>
    <w:rsid w:val="00FD0E30"/>
    <w:rsid w:val="00FD12CE"/>
    <w:rsid w:val="00FD1AC7"/>
    <w:rsid w:val="00FD3D03"/>
    <w:rsid w:val="00FD4500"/>
    <w:rsid w:val="00FD6A14"/>
    <w:rsid w:val="00FD75A6"/>
    <w:rsid w:val="00FE0B54"/>
    <w:rsid w:val="00FE1247"/>
    <w:rsid w:val="00FE22B1"/>
    <w:rsid w:val="00FE2EE2"/>
    <w:rsid w:val="00FE4567"/>
    <w:rsid w:val="00FE4E97"/>
    <w:rsid w:val="00FE5679"/>
    <w:rsid w:val="00FE62B7"/>
    <w:rsid w:val="00FE6858"/>
    <w:rsid w:val="00FF12D6"/>
    <w:rsid w:val="00FF2278"/>
    <w:rsid w:val="00FF444B"/>
    <w:rsid w:val="00FF4BCB"/>
    <w:rsid w:val="00FF4BD2"/>
    <w:rsid w:val="00FF5820"/>
    <w:rsid w:val="00FF5F30"/>
    <w:rsid w:val="00FF663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BD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44EB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44EB5"/>
    <w:pPr>
      <w:ind w:left="720"/>
      <w:contextualSpacing/>
    </w:pPr>
  </w:style>
  <w:style w:type="table" w:styleId="TabloKlavuzu">
    <w:name w:val="Table Grid"/>
    <w:basedOn w:val="NormalTablo"/>
    <w:uiPriority w:val="39"/>
    <w:rsid w:val="00FA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14319F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44EB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44EB5"/>
    <w:pPr>
      <w:ind w:left="720"/>
      <w:contextualSpacing/>
    </w:pPr>
  </w:style>
  <w:style w:type="table" w:styleId="TabloKlavuzu">
    <w:name w:val="Table Grid"/>
    <w:basedOn w:val="NormalTablo"/>
    <w:uiPriority w:val="39"/>
    <w:rsid w:val="00FA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14319F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8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28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9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13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12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24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8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285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82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56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86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45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8830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6522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1046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003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2198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6411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880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7755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088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2763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7973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6331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4238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284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45930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4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4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1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6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26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96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8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74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69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99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54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020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pdk.gov.t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apdk.gov.t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tapdk.gov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apdk.gov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pd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Efza Evrengil</dc:creator>
  <cp:lastModifiedBy>MG</cp:lastModifiedBy>
  <cp:revision>2</cp:revision>
  <dcterms:created xsi:type="dcterms:W3CDTF">2015-05-31T13:49:00Z</dcterms:created>
  <dcterms:modified xsi:type="dcterms:W3CDTF">2015-05-31T13:49:00Z</dcterms:modified>
</cp:coreProperties>
</file>